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line="594"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重庆市铜梁区双山镇人民政府</w:t>
      </w:r>
    </w:p>
    <w:p>
      <w:pPr>
        <w:keepNext w:val="0"/>
        <w:keepLines w:val="0"/>
        <w:pageBreakBefore w:val="0"/>
        <w:widowControl w:val="0"/>
        <w:kinsoku/>
        <w:wordWrap/>
        <w:overflowPunct/>
        <w:topLinePunct w:val="0"/>
        <w:autoSpaceDN/>
        <w:bidi w:val="0"/>
        <w:adjustRightInd/>
        <w:spacing w:line="594"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2023年度决算公开说明</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部门基本情况</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630" w:leftChars="0" w:firstLine="10" w:firstLineChars="0"/>
        <w:jc w:val="both"/>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职能职责</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10" w:leftChars="0" w:firstLine="64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在区委、区政府的领导下，贯彻执行党和国家各项方针、政策、法律、法规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负责辖区内的地区性、群众性、公益性、社会性工作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10" w:leftChars="0" w:firstLine="64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负责精神文明建设工作，积极组织以提高村民素质为目的的活动，树文明立新风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10" w:leftChars="0" w:firstLine="64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做好辖区范围内城市建设和管理、市容环境卫生、园林绿化、环境保护、市政等监督、管理、服务工作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10" w:leftChars="0" w:firstLine="64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负责辖区内的维护稳定工作及社会治安综合治理工作、依照有关政策规定做好外来人口的管理工作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10" w:leftChars="0" w:firstLine="64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负责民事调解，法律服务工作，维护居民的合法权益，负责社区建设和管理，指导开展社区服务工作，大力兴办社会福利事业，发动和组织社区成员开展各类社区公益活动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10" w:leftChars="0" w:firstLine="64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负责民兵、兵役、拥军优属、优抚安置、社会救济、社会福利、社区文化、科普、体育、教育、旅游工作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10" w:leftChars="0" w:firstLine="64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发展村级经济，管理国有资产和集体资产，为镇政府、行政村经济组织提供人才、科技、信息和其他服务，以经济、法律和必要的行政手段推动政府、村级经济发展和维护市场秩序；负责计划生育、劳动就业、安全生产监督、初级卫生保健、人民调解等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10" w:leftChars="0" w:firstLine="64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指导和帮助居（村）民委员会搞好组织建设和制度建设，发挥居（村）民委员会的群众自治作用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9、配合有关部门做好防汛、防火、防震、抢险和救灾工作。</w:t>
      </w:r>
    </w:p>
    <w:p>
      <w:pPr>
        <w:keepNext w:val="0"/>
        <w:keepLines w:val="0"/>
        <w:pageBreakBefore w:val="0"/>
        <w:widowControl w:val="0"/>
        <w:numPr>
          <w:ilvl w:val="0"/>
          <w:numId w:val="2"/>
        </w:numPr>
        <w:kinsoku/>
        <w:wordWrap/>
        <w:overflowPunct/>
        <w:topLinePunct w:val="0"/>
        <w:autoSpaceDN/>
        <w:bidi w:val="0"/>
        <w:adjustRightInd/>
        <w:spacing w:line="594" w:lineRule="exact"/>
        <w:ind w:left="630" w:leftChars="0" w:firstLine="0" w:firstLineChars="0"/>
        <w:jc w:val="both"/>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机构设置</w:t>
      </w:r>
    </w:p>
    <w:p>
      <w:pPr>
        <w:keepNext w:val="0"/>
        <w:keepLines w:val="0"/>
        <w:pageBreakBefore w:val="0"/>
        <w:widowControl w:val="0"/>
        <w:numPr>
          <w:ilvl w:val="0"/>
          <w:numId w:val="0"/>
        </w:numPr>
        <w:kinsoku/>
        <w:wordWrap/>
        <w:overflowPunct/>
        <w:topLinePunct w:val="0"/>
        <w:autoSpaceDN/>
        <w:bidi w:val="0"/>
        <w:adjustRightInd/>
        <w:spacing w:line="594" w:lineRule="exact"/>
        <w:ind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从预算单位构成看，纳入本部门202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度决算编制的一级预算单位主要包括内设9个机构处室，分别是共产党机关1个，政府机关1个，事业单位有劳动就业和社会保障服务所、文化中心、农业服务中心、退役军人服务站、综合行政执法大队、乡村生态治理中心、乡村生态产业培育中心共7个单位。</w:t>
      </w:r>
    </w:p>
    <w:p>
      <w:pPr>
        <w:keepNext w:val="0"/>
        <w:keepLines w:val="0"/>
        <w:pageBreakBefore w:val="0"/>
        <w:widowControl w:val="0"/>
        <w:numPr>
          <w:ilvl w:val="0"/>
          <w:numId w:val="1"/>
        </w:numPr>
        <w:kinsoku/>
        <w:wordWrap/>
        <w:overflowPunct/>
        <w:topLinePunct w:val="0"/>
        <w:autoSpaceDN/>
        <w:bidi w:val="0"/>
        <w:adjustRightInd/>
        <w:spacing w:line="594" w:lineRule="exact"/>
        <w:ind w:left="0" w:leftChars="0" w:firstLine="0" w:firstLineChars="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部门决算情况说明</w:t>
      </w:r>
    </w:p>
    <w:p>
      <w:pPr>
        <w:pStyle w:val="7"/>
        <w:keepNext w:val="0"/>
        <w:keepLines w:val="0"/>
        <w:pageBreakBefore w:val="0"/>
        <w:widowControl w:val="0"/>
        <w:numPr>
          <w:ilvl w:val="0"/>
          <w:numId w:val="4"/>
        </w:numPr>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收入支出决算总体情况说明。</w:t>
      </w:r>
    </w:p>
    <w:p>
      <w:pPr>
        <w:pStyle w:val="7"/>
        <w:keepNext w:val="0"/>
        <w:keepLines w:val="0"/>
        <w:pageBreakBefore w:val="0"/>
        <w:widowControl w:val="0"/>
        <w:numPr>
          <w:ilvl w:val="0"/>
          <w:numId w:val="0"/>
        </w:numPr>
        <w:kinsoku/>
        <w:wordWrap/>
        <w:overflowPunct/>
        <w:topLinePunct w:val="0"/>
        <w:autoSpaceDE w:val="0"/>
        <w:autoSpaceDN/>
        <w:bidi w:val="0"/>
        <w:adjustRightInd/>
        <w:spacing w:line="594"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1.总体情况。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2023年度收入总计2415.87万元，支出总计</w:t>
      </w:r>
      <w:r>
        <w:rPr>
          <w:rFonts w:hint="default" w:ascii="Times New Roman" w:hAnsi="Times New Roman" w:eastAsia="方正仿宋_GBK" w:cs="Times New Roman"/>
          <w:color w:val="000000" w:themeColor="text1"/>
          <w:sz w:val="32"/>
          <w:szCs w:val="32"/>
          <w14:textFill>
            <w14:solidFill>
              <w14:schemeClr w14:val="tx1"/>
            </w14:solidFill>
          </w14:textFill>
        </w:rPr>
        <w:t>2415.87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万元。收支较上年决算数增加232.70万元，增长10.66%，主要原因是人员增加，项目增加，财政拨款增加。</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2023年度收入合计2400.87万元，较上年决算数增加232.70万元，增长10.73%，主要原因是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人员增加，项目增加，财政拨款增加。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其中：财政拨款收入</w:t>
      </w:r>
      <w:r>
        <w:rPr>
          <w:rFonts w:hint="default" w:ascii="Times New Roman" w:hAnsi="Times New Roman" w:eastAsia="方正仿宋_GBK" w:cs="Times New Roman"/>
          <w:color w:val="000000" w:themeColor="text1"/>
          <w:sz w:val="32"/>
          <w:szCs w:val="32"/>
          <w14:textFill>
            <w14:solidFill>
              <w14:schemeClr w14:val="tx1"/>
            </w14:solidFill>
          </w14:textFill>
        </w:rPr>
        <w:t>2400.87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100.00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%；事业收入</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万元，占0.00%；经营收入</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万元，占0.00%；其他收入</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万元，占0.00%。此外，使用非财政拨款结余和专用结余</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万元，年初结转和结余</w:t>
      </w:r>
      <w:r>
        <w:rPr>
          <w:rFonts w:hint="default" w:ascii="Times New Roman" w:hAnsi="Times New Roman" w:eastAsia="方正仿宋_GBK" w:cs="Times New Roman"/>
          <w:color w:val="000000" w:themeColor="text1"/>
          <w:sz w:val="32"/>
          <w:szCs w:val="32"/>
          <w14:textFill>
            <w14:solidFill>
              <w14:schemeClr w14:val="tx1"/>
            </w14:solidFill>
          </w14:textFill>
        </w:rPr>
        <w:t>15.00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2023年度支出合计</w:t>
      </w:r>
      <w:r>
        <w:rPr>
          <w:rFonts w:hint="default" w:ascii="Times New Roman" w:hAnsi="Times New Roman" w:eastAsia="方正仿宋_GBK" w:cs="Times New Roman"/>
          <w:color w:val="000000" w:themeColor="text1"/>
          <w:sz w:val="32"/>
          <w:szCs w:val="32"/>
          <w14:textFill>
            <w14:solidFill>
              <w14:schemeClr w14:val="tx1"/>
            </w14:solidFill>
          </w14:textFill>
        </w:rPr>
        <w:t>2400.87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万元，较上年决算数增加232.70万元，增长10.73%，主要原因是人员增加，项目增加，财政拨款增加</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其中：基本支出</w:t>
      </w:r>
      <w:r>
        <w:rPr>
          <w:rFonts w:hint="default" w:ascii="Times New Roman" w:hAnsi="Times New Roman" w:eastAsia="方正仿宋_GBK" w:cs="Times New Roman"/>
          <w:color w:val="000000" w:themeColor="text1"/>
          <w:sz w:val="32"/>
          <w:szCs w:val="32"/>
          <w14:textFill>
            <w14:solidFill>
              <w14:schemeClr w14:val="tx1"/>
            </w14:solidFill>
          </w14:textFill>
        </w:rPr>
        <w:t>1288.76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万元，占53.68%；项目支出</w:t>
      </w:r>
      <w:r>
        <w:rPr>
          <w:rFonts w:hint="default" w:ascii="Times New Roman" w:hAnsi="Times New Roman" w:eastAsia="方正仿宋_GBK" w:cs="Times New Roman"/>
          <w:color w:val="000000" w:themeColor="text1"/>
          <w:sz w:val="32"/>
          <w:szCs w:val="32"/>
          <w14:textFill>
            <w14:solidFill>
              <w14:schemeClr w14:val="tx1"/>
            </w14:solidFill>
          </w14:textFill>
        </w:rPr>
        <w:t>1112.11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万元，占46.32%；经营支出</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万元，占0.00%。此外，结余分配</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4.结转结余情况。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2023年度年末结转和结余</w:t>
      </w:r>
      <w:r>
        <w:rPr>
          <w:rFonts w:hint="default" w:ascii="Times New Roman" w:hAnsi="Times New Roman" w:eastAsia="方正仿宋_GBK" w:cs="Times New Roman"/>
          <w:color w:val="000000" w:themeColor="text1"/>
          <w:sz w:val="32"/>
          <w:szCs w:val="32"/>
          <w14:textFill>
            <w14:solidFill>
              <w14:schemeClr w14:val="tx1"/>
            </w14:solidFill>
          </w14:textFill>
        </w:rPr>
        <w:t>15.00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万元，较上年决算数无增减</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（二）财政拨款收入支出决算总体情况说明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2023年度财政拨款收、支总计2415.87万元。与2022年相比，财政拨款收、支总计各增加232.70万元，增长10.66%。主要原因是人员增加，项目增加，财政拨款增加。</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（三）一般公共预算财政拨款收入支出决算情况说明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2023年度一般公共预算财政拨款收入</w:t>
      </w:r>
      <w:r>
        <w:rPr>
          <w:rFonts w:hint="default" w:ascii="Times New Roman" w:hAnsi="Times New Roman" w:eastAsia="方正仿宋_GBK" w:cs="Times New Roman"/>
          <w:color w:val="000000" w:themeColor="text1"/>
          <w:sz w:val="32"/>
          <w:szCs w:val="32"/>
          <w14:textFill>
            <w14:solidFill>
              <w14:schemeClr w14:val="tx1"/>
            </w14:solidFill>
          </w14:textFill>
        </w:rPr>
        <w:t>2400.87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万元，较上年决算数增加326.66万元，增长15.75%。较年初预算数增加495.63万元，增长26.01%。此外，年初财政拨款结转和结余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15.00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2023年度一般公共预算财政拨款支出</w:t>
      </w:r>
      <w:r>
        <w:rPr>
          <w:rFonts w:hint="default" w:ascii="Times New Roman" w:hAnsi="Times New Roman" w:eastAsia="方正仿宋_GBK" w:cs="Times New Roman"/>
          <w:color w:val="000000" w:themeColor="text1"/>
          <w:sz w:val="32"/>
          <w:szCs w:val="32"/>
          <w14:textFill>
            <w14:solidFill>
              <w14:schemeClr w14:val="tx1"/>
            </w14:solidFill>
          </w14:textFill>
        </w:rPr>
        <w:t>2400.87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万元，较上年决算数增加326.66万元，增长15.75%。较年初预算数增加495.63万元，增长26.01%。</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2023年度年末一般公共预算财政拨款结转和结余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15.00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万元，较上年决算数无增减</w:t>
      </w: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highlight w:val="cyan"/>
          <w:shd w:val="clear" w:color="auto" w:fill="FFFFFF"/>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4.比较情况。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本部门2023年度一般公共预算财政拨款支出主要用于以下几个方面：</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（1）一般公共服务支出</w:t>
      </w:r>
      <w:r>
        <w:rPr>
          <w:rFonts w:hint="default" w:ascii="Times New Roman" w:hAnsi="Times New Roman" w:eastAsia="方正仿宋_GBK" w:cs="Times New Roman"/>
          <w:color w:val="000000" w:themeColor="text1"/>
          <w:sz w:val="32"/>
          <w:szCs w:val="32"/>
          <w14:textFill>
            <w14:solidFill>
              <w14:schemeClr w14:val="tx1"/>
            </w14:solidFill>
          </w14:textFill>
        </w:rPr>
        <w:t>489.48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20.39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%，较年初预算数增加46.81万元，增长10.57%，主要原因是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人员增加。</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）文化旅游体育与传媒支出</w:t>
      </w:r>
      <w:r>
        <w:rPr>
          <w:rFonts w:hint="default" w:ascii="Times New Roman" w:hAnsi="Times New Roman" w:eastAsia="方正仿宋_GBK" w:cs="Times New Roman"/>
          <w:color w:val="000000" w:themeColor="text1"/>
          <w:sz w:val="32"/>
          <w:szCs w:val="32"/>
          <w14:textFill>
            <w14:solidFill>
              <w14:schemeClr w14:val="tx1"/>
            </w14:solidFill>
          </w14:textFill>
        </w:rPr>
        <w:t>63.33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2.64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%，较年初预算数增加58.33万元，增长116.60%，主要原因是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加强了文化旅游方面工作，促进乡村旅游发展。</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）社会保障与就业支出</w:t>
      </w:r>
      <w:r>
        <w:rPr>
          <w:rFonts w:hint="default" w:ascii="Times New Roman" w:hAnsi="Times New Roman" w:eastAsia="方正仿宋_GBK" w:cs="Times New Roman"/>
          <w:color w:val="000000" w:themeColor="text1"/>
          <w:sz w:val="32"/>
          <w:szCs w:val="32"/>
          <w14:textFill>
            <w14:solidFill>
              <w14:schemeClr w14:val="tx1"/>
            </w14:solidFill>
          </w14:textFill>
        </w:rPr>
        <w:t>264.10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11.00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%，较年初预算数增加94.30万元，增长55.54%，主要原因</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积极落实社保和就业的相关政策，社保基数上涨等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）卫生健康支出</w:t>
      </w:r>
      <w:r>
        <w:rPr>
          <w:rFonts w:hint="default" w:ascii="Times New Roman" w:hAnsi="Times New Roman" w:eastAsia="方正仿宋_GBK" w:cs="Times New Roman"/>
          <w:color w:val="000000" w:themeColor="text1"/>
          <w:sz w:val="32"/>
          <w:szCs w:val="32"/>
          <w14:textFill>
            <w14:solidFill>
              <w14:schemeClr w14:val="tx1"/>
            </w14:solidFill>
          </w14:textFill>
        </w:rPr>
        <w:t>36.04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1.50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%，较年初预算数减少27.73万元，下降43.48%，主要原因是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近年的基层卫生服务得到了加强，疫情得到控制等原因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）节能环保支出</w:t>
      </w:r>
      <w:r>
        <w:rPr>
          <w:rFonts w:hint="default" w:ascii="Times New Roman" w:hAnsi="Times New Roman" w:eastAsia="方正仿宋_GBK" w:cs="Times New Roman"/>
          <w:color w:val="000000" w:themeColor="text1"/>
          <w:sz w:val="32"/>
          <w:szCs w:val="32"/>
          <w14:textFill>
            <w14:solidFill>
              <w14:schemeClr w14:val="tx1"/>
            </w14:solidFill>
          </w14:textFill>
        </w:rPr>
        <w:t>79.86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3.33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%，较年初预算数减少23.58万元，下降22.80%，主要原因是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前期节能环保工作成效明显</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）城乡社区支出</w:t>
      </w:r>
      <w:r>
        <w:rPr>
          <w:rFonts w:hint="default" w:ascii="Times New Roman" w:hAnsi="Times New Roman" w:eastAsia="方正仿宋_GBK" w:cs="Times New Roman"/>
          <w:color w:val="000000" w:themeColor="text1"/>
          <w:sz w:val="32"/>
          <w:szCs w:val="32"/>
          <w14:textFill>
            <w14:solidFill>
              <w14:schemeClr w14:val="tx1"/>
            </w14:solidFill>
          </w14:textFill>
        </w:rPr>
        <w:t>111.50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4.64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%，较年初预算数增加61.50万元，增长123.00%，主要原因是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基础设施建设增加、公共服务提升、社区管理加强等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）农林水支出</w:t>
      </w:r>
      <w:r>
        <w:rPr>
          <w:rFonts w:hint="default" w:ascii="Times New Roman" w:hAnsi="Times New Roman" w:eastAsia="方正仿宋_GBK" w:cs="Times New Roman"/>
          <w:color w:val="000000" w:themeColor="text1"/>
          <w:sz w:val="32"/>
          <w:szCs w:val="32"/>
          <w14:textFill>
            <w14:solidFill>
              <w14:schemeClr w14:val="tx1"/>
            </w14:solidFill>
          </w14:textFill>
        </w:rPr>
        <w:t>984.22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40.99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%，较年初预算数增加60.45万元，增长6.54%，主要原因是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加大了资金投入，农村地区基础设施加强等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）交通运输支出</w:t>
      </w:r>
      <w:r>
        <w:rPr>
          <w:rFonts w:hint="default" w:ascii="Times New Roman" w:hAnsi="Times New Roman" w:eastAsia="方正仿宋_GBK" w:cs="Times New Roman"/>
          <w:color w:val="000000" w:themeColor="text1"/>
          <w:sz w:val="32"/>
          <w:szCs w:val="32"/>
          <w14:textFill>
            <w14:solidFill>
              <w14:schemeClr w14:val="tx1"/>
            </w14:solidFill>
          </w14:textFill>
        </w:rPr>
        <w:t>248.63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10.36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%，较年初预算数增加159.62万元，增长179.33%，主要原因是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交通道路得到进一步改善，满足更多群众出行需求</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住房保障支出70.65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2.94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%，较年初预算数增加12.87万元，增长22.27%，主要原因是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住房保障人员增加，相关基数上调等。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灾害防治及应急管理支出53.05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%，较年初预算数增加53.05万元，增长100.00%，主要原因是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2023年突发</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旱情灾害严重。</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（四）一般公共预算财政拨款基本支出决算情况说明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2023年度一般公共财政拨款基本支出</w:t>
      </w:r>
      <w:r>
        <w:rPr>
          <w:rFonts w:hint="default" w:ascii="Times New Roman" w:hAnsi="Times New Roman" w:eastAsia="方正仿宋_GBK" w:cs="Times New Roman"/>
          <w:color w:val="000000" w:themeColor="text1"/>
          <w:sz w:val="32"/>
          <w:szCs w:val="32"/>
          <w14:textFill>
            <w14:solidFill>
              <w14:schemeClr w14:val="tx1"/>
            </w14:solidFill>
          </w14:textFill>
        </w:rPr>
        <w:t>1288.76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万元。其中：人员经费</w:t>
      </w:r>
      <w:r>
        <w:rPr>
          <w:rFonts w:hint="default" w:ascii="Times New Roman" w:hAnsi="Times New Roman" w:eastAsia="方正仿宋_GBK" w:cs="Times New Roman"/>
          <w:color w:val="000000" w:themeColor="text1"/>
          <w:sz w:val="32"/>
          <w:szCs w:val="32"/>
          <w14:textFill>
            <w14:solidFill>
              <w14:schemeClr w14:val="tx1"/>
            </w14:solidFill>
          </w14:textFill>
        </w:rPr>
        <w:t>1034.45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万元，较上年决算数增加88.60万元，增长9.37%，主要原因是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单位人员增加，基数上涨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人员经费用途主要包括</w:t>
      </w:r>
      <w:r>
        <w:rPr>
          <w:rFonts w:hint="default"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基本工资、五险一金等</w:t>
      </w:r>
      <w:r>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w:t>
      </w:r>
      <w:r>
        <w:rPr>
          <w:rFonts w:hint="default" w:ascii="Times New Roman" w:hAnsi="Times New Roman" w:eastAsia="方正仿宋_GBK" w:cs="Times New Roman"/>
          <w:color w:val="000000" w:themeColor="text1"/>
          <w:sz w:val="32"/>
          <w:szCs w:val="32"/>
          <w14:textFill>
            <w14:solidFill>
              <w14:schemeClr w14:val="tx1"/>
            </w14:solidFill>
          </w14:textFill>
        </w:rPr>
        <w:t>254.31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万元，较上年决算数减少32.27万元，下降11.26%，主要原因是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严格落实中央八项规定，贯彻政府过紧日子要求</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。公用经费用途主要包括</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机关基本运转和办公费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（五）政府性基金预算收支决算情况说明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shd w:val="clear" w:color="auto" w:fill="auto"/>
          <w14:textFill>
            <w14:solidFill>
              <w14:schemeClr w14:val="tx1"/>
            </w14:solidFill>
          </w14:textFill>
        </w:rPr>
      </w:pPr>
      <w:r>
        <w:rPr>
          <w:rStyle w:val="5"/>
          <w:rFonts w:hint="default" w:ascii="Times New Roman" w:hAnsi="Times New Roman" w:eastAsia="方正仿宋_GBK" w:cs="Times New Roman"/>
          <w:b w:val="0"/>
          <w:bCs/>
          <w:color w:val="000000" w:themeColor="text1"/>
          <w:sz w:val="32"/>
          <w:szCs w:val="32"/>
          <w:shd w:val="clear" w:color="auto" w:fill="auto"/>
          <w14:textFill>
            <w14:solidFill>
              <w14:schemeClr w14:val="tx1"/>
            </w14:solidFill>
          </w14:textFill>
        </w:rPr>
        <w:t>本部门2023年度无政府性基金预算财政拨款收支。</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（六）国有资本经营预算财政拨款支出决算情况说明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5"/>
          <w:rFonts w:hint="default" w:ascii="Times New Roman" w:hAnsi="Times New Roman" w:eastAsia="方正仿宋_GBK" w:cs="Times New Roman"/>
          <w:b w:val="0"/>
          <w:bCs/>
          <w:color w:val="000000" w:themeColor="text1"/>
          <w:sz w:val="32"/>
          <w:szCs w:val="32"/>
          <w:shd w:val="clear" w:color="auto" w:fill="auto"/>
          <w14:textFill>
            <w14:solidFill>
              <w14:schemeClr w14:val="tx1"/>
            </w14:solidFill>
          </w14:textFill>
        </w:rPr>
      </w:pPr>
      <w:r>
        <w:rPr>
          <w:rStyle w:val="5"/>
          <w:rFonts w:hint="default" w:ascii="Times New Roman" w:hAnsi="Times New Roman" w:eastAsia="方正仿宋_GBK" w:cs="Times New Roman"/>
          <w:b w:val="0"/>
          <w:bCs/>
          <w:color w:val="000000" w:themeColor="text1"/>
          <w:sz w:val="32"/>
          <w:szCs w:val="32"/>
          <w:shd w:val="clear" w:color="auto" w:fill="auto"/>
          <w14:textFill>
            <w14:solidFill>
              <w14:schemeClr w14:val="tx1"/>
            </w14:solidFill>
          </w14:textFill>
        </w:rPr>
        <w:t>本部门2023年度无国有资本经营预算财政拨款支出。</w:t>
      </w:r>
    </w:p>
    <w:p>
      <w:pPr>
        <w:pStyle w:val="3"/>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94" w:lineRule="exact"/>
        <w:ind w:left="0" w:leftChars="0" w:firstLine="640" w:firstLineChars="200"/>
        <w:jc w:val="both"/>
        <w:textAlignment w:val="auto"/>
        <w:rPr>
          <w:rStyle w:val="5"/>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5"/>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“三公”经费情况说明</w:t>
      </w:r>
      <w:bookmarkStart w:id="0" w:name="_GoBack"/>
      <w:bookmarkEnd w:id="0"/>
    </w:p>
    <w:p>
      <w:pPr>
        <w:pStyle w:val="3"/>
        <w:keepNext w:val="0"/>
        <w:keepLines w:val="0"/>
        <w:pageBreakBefore w:val="0"/>
        <w:widowControl w:val="0"/>
        <w:numPr>
          <w:ilvl w:val="0"/>
          <w:numId w:val="5"/>
        </w:numPr>
        <w:kinsoku/>
        <w:wordWrap/>
        <w:overflowPunct/>
        <w:topLinePunct w:val="0"/>
        <w:autoSpaceDE/>
        <w:autoSpaceDN/>
        <w:bidi w:val="0"/>
        <w:adjustRightInd/>
        <w:snapToGrid w:val="0"/>
        <w:spacing w:before="0" w:beforeAutospacing="0" w:after="0" w:afterAutospacing="0" w:line="594" w:lineRule="exact"/>
        <w:ind w:leftChars="0" w:firstLine="640" w:firstLineChars="200"/>
        <w:jc w:val="both"/>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“三公”经费支出总体情况说明</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2023年度“三公”经费支出共计</w:t>
      </w:r>
      <w:r>
        <w:rPr>
          <w:rFonts w:hint="default" w:ascii="Times New Roman" w:hAnsi="Times New Roman" w:eastAsia="方正仿宋_GBK" w:cs="Times New Roman"/>
          <w:color w:val="000000" w:themeColor="text1"/>
          <w:sz w:val="32"/>
          <w:szCs w:val="32"/>
          <w14:textFill>
            <w14:solidFill>
              <w14:schemeClr w14:val="tx1"/>
            </w14:solidFill>
          </w14:textFill>
        </w:rPr>
        <w:t>3.39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万元，较年初预算数减少7.41万元，下降68.61%，主要原因是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严格落实</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中央</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八项规定，贯彻政府过紧日子要求</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。较上年支出数减少2.43万元，下降41.75%，主要原因是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严格落实</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中央</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八项规定，贯彻政府过紧日子要求</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（二）“三公”经费分项支出情况</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2023年度本单位因公出国（境）费用0万元，费用支出较年初预算数增加0万元，增长0.0%。较上年支出数增加0万元，增长0.0%。2023年度我单位无因公出国（境）支出，与上年度决算数持平。</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公务用车购置费0万元，费用支出较年初预算数增加0万元，增长0.0%。较上年支出数增加0万元，增长0.0%。本单位2023年度未发生公务用车购置费，与上年度决算数持平。  </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车运行维护费3.39万元，主要用于公务车辆维修维护及运行。费用支出较年初预算数减少7.41万元，下降68.61%，较上年支出数减少2.43万元，下降41.75%，主要原因是合理使用公务车辆，积极贯彻政府过紧日子要求。</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公务接待费0.00万元，费用支出较年初预算数无增减，较上年支出数无增减。</w:t>
      </w:r>
    </w:p>
    <w:p>
      <w:pPr>
        <w:pStyle w:val="7"/>
        <w:keepNext w:val="0"/>
        <w:keepLines w:val="0"/>
        <w:pageBreakBefore w:val="0"/>
        <w:widowControl w:val="0"/>
        <w:kinsoku/>
        <w:wordWrap/>
        <w:overflowPunct/>
        <w:topLinePunct w:val="0"/>
        <w:autoSpaceDE w:val="0"/>
        <w:autoSpaceDN/>
        <w:bidi w:val="0"/>
        <w:adjustRightInd/>
        <w:spacing w:line="594" w:lineRule="exact"/>
        <w:ind w:left="0" w:leftChars="0" w:firstLine="640" w:firstLineChars="200"/>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（三）“三公”经费实物量情况</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2023年度本部门因公出国（境）共计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个团组，</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人；公务用车购置</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辆，公务车保有量为</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辆；国内公务接待</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人，其中：国内外事接待</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人；国（境）外公务接待</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人。2023年本部门人均接待费</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元，车均购置费</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万元，车均维护费</w:t>
      </w:r>
      <w:r>
        <w:rPr>
          <w:rFonts w:hint="default" w:ascii="Times New Roman" w:hAnsi="Times New Roman" w:eastAsia="方正仿宋_GBK" w:cs="Times New Roman"/>
          <w:color w:val="000000" w:themeColor="text1"/>
          <w:sz w:val="32"/>
          <w:szCs w:val="32"/>
          <w14:textFill>
            <w14:solidFill>
              <w14:schemeClr w14:val="tx1"/>
            </w14:solidFill>
          </w14:textFill>
        </w:rPr>
        <w:t>1.69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lang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其他需要说明的事项</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shd w:val="clear" w:color="auto" w:fill="FFFFFF"/>
          <w:lang w:eastAsia="zh-CN"/>
          <w14:textFill>
            <w14:solidFill>
              <w14:schemeClr w14:val="tx1"/>
            </w14:solidFill>
          </w14:textFill>
        </w:rPr>
        <w:t>（一）</w:t>
      </w:r>
      <w:r>
        <w:rPr>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财政拨款会议费和培训费情况说明</w:t>
      </w:r>
      <w:r>
        <w:rPr>
          <w:rFonts w:hint="default" w:ascii="Times New Roman" w:hAnsi="Times New Roman" w:eastAsia="方正楷体_GBK" w:cs="Times New Roman"/>
          <w:color w:val="000000" w:themeColor="text1"/>
          <w:sz w:val="32"/>
          <w:szCs w:val="32"/>
          <w:shd w:val="clear" w:color="auto" w:fill="FFFFFF"/>
          <w:lang w:eastAsia="zh-CN"/>
          <w14:textFill>
            <w14:solidFill>
              <w14:schemeClr w14:val="tx1"/>
            </w14:solidFill>
          </w14:textFill>
        </w:rPr>
        <w:t>。</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本年度会议费支出0.00万元。本年度培训费支出3.24万元，较上年决算数增加3.24万元，增长100.00%，主要原因是</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按照全区统一安排，干部参加培训部分费用由所在单位负责报销</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楷体" w:cs="Times New Roman"/>
          <w:b w:val="0"/>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val="0"/>
          <w:bCs/>
          <w:color w:val="000000" w:themeColor="text1"/>
          <w:sz w:val="32"/>
          <w:szCs w:val="32"/>
          <w:shd w:val="clear" w:color="auto" w:fill="FFFFFF"/>
          <w14:textFill>
            <w14:solidFill>
              <w14:schemeClr w14:val="tx1"/>
            </w14:solidFill>
          </w14:textFill>
        </w:rPr>
        <w:t>（二）机关运行经费情况说明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2023年度本部门机关运行经费支出</w:t>
      </w:r>
      <w:r>
        <w:rPr>
          <w:rFonts w:hint="default" w:ascii="Times New Roman" w:hAnsi="Times New Roman" w:eastAsia="方正仿宋_GBK" w:cs="Times New Roman"/>
          <w:b w:val="0"/>
          <w:bCs/>
          <w:color w:val="000000" w:themeColor="text1"/>
          <w:sz w:val="32"/>
          <w:szCs w:val="32"/>
          <w14:textFill>
            <w14:solidFill>
              <w14:schemeClr w14:val="tx1"/>
            </w14:solidFill>
          </w14:textFill>
        </w:rPr>
        <w:t>93.98</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万元，机关运行经费主要用于开支</w:t>
      </w:r>
      <w:r>
        <w:rPr>
          <w:rFonts w:hint="default" w:ascii="Times New Roman" w:hAnsi="Times New Roman" w:eastAsia="方正仿宋_GBK" w:cs="Times New Roman"/>
          <w:b w:val="0"/>
          <w:bCs/>
          <w:color w:val="000000" w:themeColor="text1"/>
          <w:sz w:val="32"/>
          <w:szCs w:val="32"/>
          <w:shd w:val="clear" w:color="auto" w:fill="FFFFFF"/>
          <w:lang w:eastAsia="zh-CN"/>
          <w14:textFill>
            <w14:solidFill>
              <w14:schemeClr w14:val="tx1"/>
            </w14:solidFill>
          </w14:textFill>
        </w:rPr>
        <w:t>办公费、水费、电费、邮电费、维修（护）费、委托业务费、其他商品服务费</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。机关运行经费较上年支出数减少91.81万元，下降49.42%，主要原因是</w:t>
      </w:r>
      <w:r>
        <w:rPr>
          <w:rFonts w:hint="default" w:ascii="Times New Roman" w:hAnsi="Times New Roman" w:eastAsia="方正仿宋_GBK" w:cs="Times New Roman"/>
          <w:b w:val="0"/>
          <w:bCs/>
          <w:color w:val="000000" w:themeColor="text1"/>
          <w:sz w:val="32"/>
          <w:szCs w:val="32"/>
          <w:shd w:val="clear" w:color="auto" w:fill="FFFFFF"/>
          <w:lang w:eastAsia="zh-CN"/>
          <w14:textFill>
            <w14:solidFill>
              <w14:schemeClr w14:val="tx1"/>
            </w14:solidFill>
          </w14:textFill>
        </w:rPr>
        <w:t>积极落实了政府过紧日子要求。</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楷体" w:cs="Times New Roman"/>
          <w:b w:val="0"/>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val="0"/>
          <w:bCs/>
          <w:color w:val="000000" w:themeColor="text1"/>
          <w:sz w:val="32"/>
          <w:szCs w:val="32"/>
          <w:shd w:val="clear" w:color="auto" w:fill="FFFFFF"/>
          <w14:textFill>
            <w14:solidFill>
              <w14:schemeClr w14:val="tx1"/>
            </w14:solidFill>
          </w14:textFill>
        </w:rPr>
        <w:t>（三）国有资产占用情况说明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  截至2023年12月31日，本部门共有车辆</w:t>
      </w:r>
      <w:r>
        <w:rPr>
          <w:rFonts w:hint="default" w:ascii="Times New Roman" w:hAnsi="Times New Roman" w:eastAsia="方正仿宋_GBK" w:cs="Times New Roman"/>
          <w:b w:val="0"/>
          <w:bCs/>
          <w:color w:val="000000" w:themeColor="text1"/>
          <w:sz w:val="32"/>
          <w:szCs w:val="32"/>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s="Times New Roman"/>
          <w:b w:val="0"/>
          <w:bCs/>
          <w:color w:val="000000" w:themeColor="text1"/>
          <w:sz w:val="32"/>
          <w:szCs w:val="32"/>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辆。单价100万元（含）以上专用设备</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台（套）。</w:t>
      </w:r>
    </w:p>
    <w:p>
      <w:pPr>
        <w:pStyle w:val="7"/>
        <w:keepNext w:val="0"/>
        <w:keepLines w:val="0"/>
        <w:pageBreakBefore w:val="0"/>
        <w:widowControl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（四）政府采购支出情况说明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2023年度本部门政府采购支出总额</w:t>
      </w:r>
      <w:r>
        <w:rPr>
          <w:rFonts w:hint="default" w:ascii="Times New Roman" w:hAnsi="Times New Roman" w:eastAsia="方正仿宋_GBK" w:cs="Times New Roman"/>
          <w:color w:val="000000" w:themeColor="text1"/>
          <w:sz w:val="32"/>
          <w:szCs w:val="32"/>
          <w14:textFill>
            <w14:solidFill>
              <w14:schemeClr w14:val="tx1"/>
            </w14:solidFill>
          </w14:textFill>
        </w:rPr>
        <w:t>3.98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万元，其中：政府采购货物支出</w:t>
      </w:r>
      <w:r>
        <w:rPr>
          <w:rFonts w:hint="default" w:ascii="Times New Roman" w:hAnsi="Times New Roman" w:eastAsia="方正仿宋_GBK" w:cs="Times New Roman"/>
          <w:color w:val="000000" w:themeColor="text1"/>
          <w:sz w:val="32"/>
          <w:szCs w:val="32"/>
          <w14:textFill>
            <w14:solidFill>
              <w14:schemeClr w14:val="tx1"/>
            </w14:solidFill>
          </w14:textFill>
        </w:rPr>
        <w:t>3.98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万元、政府采购工程支出</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万元、政府采购服务支出</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万元。授予中小企业合同金额</w:t>
      </w:r>
      <w:r>
        <w:rPr>
          <w:rFonts w:hint="default" w:ascii="Times New Roman" w:hAnsi="Times New Roman" w:eastAsia="方正仿宋_GBK" w:cs="Times New Roman"/>
          <w:color w:val="000000" w:themeColor="text1"/>
          <w:sz w:val="32"/>
          <w:szCs w:val="32"/>
          <w14:textFill>
            <w14:solidFill>
              <w14:schemeClr w14:val="tx1"/>
            </w14:solidFill>
          </w14:textFill>
        </w:rPr>
        <w:t>3.98万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元，占政府采购支出总额的</w:t>
      </w:r>
      <w:r>
        <w:rPr>
          <w:rFonts w:hint="default" w:ascii="Times New Roman" w:hAnsi="Times New Roman" w:eastAsia="方正仿宋_GBK" w:cs="Times New Roman"/>
          <w:color w:val="000000" w:themeColor="text1"/>
          <w:sz w:val="32"/>
          <w:szCs w:val="32"/>
          <w14:textFill>
            <w14:solidFill>
              <w14:schemeClr w14:val="tx1"/>
            </w14:solidFill>
          </w14:textFill>
        </w:rPr>
        <w:t>100.00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%，其中：授予小微企业合同金额</w:t>
      </w:r>
      <w:r>
        <w:rPr>
          <w:rFonts w:hint="default" w:ascii="Times New Roman" w:hAnsi="Times New Roman" w:eastAsia="方正仿宋_GBK" w:cs="Times New Roman"/>
          <w:color w:val="000000" w:themeColor="text1"/>
          <w:sz w:val="32"/>
          <w:szCs w:val="32"/>
          <w14:textFill>
            <w14:solidFill>
              <w14:schemeClr w14:val="tx1"/>
            </w14:solidFill>
          </w14:textFill>
        </w:rPr>
        <w:t>3.98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万元，占政府采购支出总额的</w:t>
      </w:r>
      <w:r>
        <w:rPr>
          <w:rFonts w:hint="default" w:ascii="Times New Roman" w:hAnsi="Times New Roman" w:eastAsia="方正仿宋_GBK" w:cs="Times New Roman"/>
          <w:color w:val="000000" w:themeColor="text1"/>
          <w:sz w:val="32"/>
          <w:szCs w:val="32"/>
          <w14:textFill>
            <w14:solidFill>
              <w14:schemeClr w14:val="tx1"/>
            </w14:solidFill>
          </w14:textFill>
        </w:rPr>
        <w:t>100.00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%。主要用于采购</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国产电脑、打印机等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b w:val="0"/>
          <w:bCs/>
          <w:color w:val="000000" w:themeColor="text1"/>
          <w:sz w:val="32"/>
          <w:szCs w:val="32"/>
          <w:shd w:val="clear" w:color="auto" w:fill="FFFFFF"/>
          <w:lang w:eastAsia="zh-CN"/>
          <w14:textFill>
            <w14:solidFill>
              <w14:schemeClr w14:val="tx1"/>
            </w14:solidFill>
          </w14:textFill>
        </w:rPr>
        <w:t>五、</w:t>
      </w:r>
      <w:r>
        <w:rPr>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预算绩效管理情况说明</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color w:val="000000" w:themeColor="text1"/>
          <w:sz w:val="32"/>
          <w:szCs w:val="32"/>
          <w:shd w:val="clear" w:color="auto" w:fill="FFFFFF"/>
          <w14:textFill>
            <w14:solidFill>
              <w14:schemeClr w14:val="tx1"/>
            </w14:solidFill>
          </w14:textFill>
        </w:rPr>
        <w:t>（一）预算绩效管理工作开展情况</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根据预算绩效管理要求，我单位对部门整体和</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30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个项目开展了绩效自评，其中，以填报自评表形式开展自评</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30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项，涉及资金</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1110.13</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万元</w:t>
      </w:r>
    </w:p>
    <w:p>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14:textFill>
            <w14:solidFill>
              <w14:schemeClr w14:val="tx1"/>
            </w14:solidFill>
          </w14:textFill>
        </w:rPr>
        <w:t xml:space="preserve"> （二）绩效自评结果。</w:t>
      </w:r>
    </w:p>
    <w:p>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1.绩效目标自评表。</w:t>
      </w:r>
    </w:p>
    <w:p>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（1）部门整体绩效自评表。</w:t>
      </w:r>
    </w:p>
    <w:p>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详见附件。</w:t>
      </w:r>
    </w:p>
    <w:p>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（2）项目绩效自评表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详见附件。</w:t>
      </w:r>
    </w:p>
    <w:p>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3.关于绩效自评结果的说明。</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我单位对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个项目进行绩效自评，其中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个已完成年度绩效目标，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个未完成年度绩效目标。</w:t>
      </w:r>
    </w:p>
    <w:p>
      <w:pPr>
        <w:keepNext w:val="0"/>
        <w:keepLines w:val="0"/>
        <w:pageBreakBefore w:val="0"/>
        <w:widowControl w:val="0"/>
        <w:kinsoku/>
        <w:wordWrap/>
        <w:overflowPunct/>
        <w:topLinePunct w:val="0"/>
        <w:autoSpaceDN/>
        <w:bidi w:val="0"/>
        <w:adjustRightInd/>
        <w:spacing w:line="594" w:lineRule="exact"/>
        <w:ind w:firstLine="644"/>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（三）重点绩效评价结果。</w:t>
      </w:r>
    </w:p>
    <w:p>
      <w:pPr>
        <w:keepNext w:val="0"/>
        <w:keepLines w:val="0"/>
        <w:pageBreakBefore w:val="0"/>
        <w:widowControl w:val="0"/>
        <w:kinsoku/>
        <w:wordWrap/>
        <w:overflowPunct/>
        <w:topLinePunct w:val="0"/>
        <w:autoSpaceDN/>
        <w:bidi w:val="0"/>
        <w:adjustRightInd/>
        <w:spacing w:line="594" w:lineRule="exact"/>
        <w:ind w:firstLine="644"/>
        <w:textAlignment w:val="auto"/>
        <w:rPr>
          <w:rStyle w:val="5"/>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pPr>
      <w:r>
        <w:rPr>
          <w:rStyle w:val="5"/>
          <w:rFonts w:hint="eastAsia" w:ascii="方正仿宋_GBK" w:hAnsi="方正仿宋_GBK" w:eastAsia="方正仿宋_GBK" w:cs="方正仿宋_GBK"/>
          <w:b w:val="0"/>
          <w:bCs w:val="0"/>
          <w:color w:val="000000" w:themeColor="text1"/>
          <w:sz w:val="32"/>
          <w:szCs w:val="32"/>
          <w:shd w:val="clear" w:color="auto" w:fill="FFFFFF"/>
          <w:lang w:eastAsia="zh-CN"/>
          <w14:textFill>
            <w14:solidFill>
              <w14:schemeClr w14:val="tx1"/>
            </w14:solidFill>
          </w14:textFill>
        </w:rPr>
        <w:t>我单位本年度未开展重点绩效评价</w:t>
      </w:r>
      <w:r>
        <w:rPr>
          <w:rStyle w:val="5"/>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94" w:lineRule="exact"/>
        <w:ind w:firstLine="644"/>
        <w:textAlignment w:val="auto"/>
        <w:rPr>
          <w:rStyle w:val="5"/>
          <w:rFonts w:hint="default" w:ascii="Times New Roman" w:hAnsi="Times New Roman" w:eastAsia="方正黑体_GBK" w:cs="Times New Roman"/>
          <w:b w:val="0"/>
          <w:bCs w:val="0"/>
          <w:color w:val="000000" w:themeColor="text1"/>
          <w:sz w:val="32"/>
          <w:szCs w:val="32"/>
          <w:shd w:val="clear" w:color="auto" w:fill="FFFFFF"/>
          <w14:textFill>
            <w14:solidFill>
              <w14:schemeClr w14:val="tx1"/>
            </w14:solidFill>
          </w14:textFill>
        </w:rPr>
      </w:pPr>
      <w:r>
        <w:rPr>
          <w:rStyle w:val="5"/>
          <w:rFonts w:hint="default" w:ascii="Times New Roman" w:hAnsi="Times New Roman" w:eastAsia="方正黑体_GBK" w:cs="Times New Roman"/>
          <w:b w:val="0"/>
          <w:bCs w:val="0"/>
          <w:color w:val="000000" w:themeColor="text1"/>
          <w:sz w:val="32"/>
          <w:szCs w:val="32"/>
          <w:shd w:val="clear" w:color="auto" w:fill="FFFFFF"/>
          <w14:textFill>
            <w14:solidFill>
              <w14:schemeClr w14:val="tx1"/>
            </w14:solidFill>
          </w14:textFill>
        </w:rPr>
        <w:t>六、专业名词解释</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（一）财政拨款收入：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（二）事业收入</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（三）经营收入</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（四）其他收入</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（五）使用非财政拨款结余</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指单位在当年的“财政拨款收入”、“事业收入”、“经营收入”、“其他收入”等不足以安排当年支出的情况下，使用以前年度积累的非财政拨款结余弥补本年度收支缺口的资金。</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（六）年初结转和结余</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（七）结余分配</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（八）年末结转和结余</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指单位结转下年的基本支出结转、项目支出结转和结余、经营结余。</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（九）基本支出</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（十）项目支出</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（十一）经营支出</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（十二）“三公”经费</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（十三）机关运行经费</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（十四）工资福利支出（支出经济分类科目类级）</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（十五）商品和服务支出（支出经济分类科目类级）</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5"/>
          <w:rFonts w:hint="default" w:ascii="Times New Roman" w:hAnsi="Times New Roman" w:eastAsia="楷体"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（十六）对个人和家庭的补助（支出经济分类科目类级）</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反映用于对个人和家庭的补助支出。</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5"/>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（十七）其他资本性支出（支出经济分类科目类级）</w:t>
      </w:r>
      <w:r>
        <w:rPr>
          <w:rFonts w:hint="default" w:ascii="Times New Roman" w:hAnsi="Times New Roman" w:eastAsia="楷体"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5"/>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5"/>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七、决算公开联系方式及信息反馈渠道</w:t>
      </w:r>
    </w:p>
    <w:p>
      <w:pPr>
        <w:pStyle w:val="3"/>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本单位决算公开信息反馈和联系方式：</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汪子钦</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023-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45218304</w:t>
      </w:r>
    </w:p>
    <w:p>
      <w:pPr>
        <w:keepNext w:val="0"/>
        <w:keepLines w:val="0"/>
        <w:pageBreakBefore w:val="0"/>
        <w:widowControl w:val="0"/>
        <w:numPr>
          <w:ilvl w:val="0"/>
          <w:numId w:val="0"/>
        </w:numPr>
        <w:kinsoku/>
        <w:wordWrap/>
        <w:overflowPunct/>
        <w:topLinePunct w:val="0"/>
        <w:autoSpaceDN/>
        <w:bidi w:val="0"/>
        <w:adjustRightInd/>
        <w:spacing w:line="594" w:lineRule="exact"/>
        <w:ind w:leftChars="0"/>
        <w:jc w:val="both"/>
        <w:textAlignment w:val="auto"/>
        <w:rPr>
          <w:rFonts w:hint="default" w:ascii="Times New Roman" w:hAnsi="Times New Roman" w:cs="Times New Roman"/>
          <w:color w:val="000000" w:themeColor="text1"/>
          <w14:textFill>
            <w14:solidFill>
              <w14:schemeClr w14:val="tx1"/>
            </w14:solidFill>
          </w14:textFill>
        </w:rPr>
      </w:pPr>
    </w:p>
    <w:sectPr>
      <w:pgSz w:w="11906" w:h="16838"/>
      <w:pgMar w:top="1440" w:right="1446"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1957E"/>
    <w:multiLevelType w:val="singleLevel"/>
    <w:tmpl w:val="8801957E"/>
    <w:lvl w:ilvl="0" w:tentative="0">
      <w:start w:val="1"/>
      <w:numFmt w:val="chineseCounting"/>
      <w:suff w:val="nothing"/>
      <w:lvlText w:val="（%1）"/>
      <w:lvlJc w:val="left"/>
      <w:pPr>
        <w:ind w:left="630"/>
      </w:pPr>
      <w:rPr>
        <w:rFonts w:hint="eastAsia"/>
      </w:rPr>
    </w:lvl>
  </w:abstractNum>
  <w:abstractNum w:abstractNumId="1">
    <w:nsid w:val="D1636D93"/>
    <w:multiLevelType w:val="singleLevel"/>
    <w:tmpl w:val="D1636D93"/>
    <w:lvl w:ilvl="0" w:tentative="0">
      <w:start w:val="1"/>
      <w:numFmt w:val="chineseCounting"/>
      <w:suff w:val="nothing"/>
      <w:lvlText w:val="（%1）"/>
      <w:lvlJc w:val="left"/>
      <w:rPr>
        <w:rFonts w:hint="eastAsia"/>
      </w:rPr>
    </w:lvl>
  </w:abstractNum>
  <w:abstractNum w:abstractNumId="2">
    <w:nsid w:val="10F619BA"/>
    <w:multiLevelType w:val="singleLevel"/>
    <w:tmpl w:val="10F619BA"/>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3">
    <w:nsid w:val="591E69EC"/>
    <w:multiLevelType w:val="singleLevel"/>
    <w:tmpl w:val="591E69EC"/>
    <w:lvl w:ilvl="0" w:tentative="0">
      <w:start w:val="1"/>
      <w:numFmt w:val="decimal"/>
      <w:suff w:val="nothing"/>
      <w:lvlText w:val="%1、"/>
      <w:lvlJc w:val="left"/>
      <w:pPr>
        <w:ind w:left="-10"/>
      </w:pPr>
    </w:lvl>
  </w:abstractNum>
  <w:abstractNum w:abstractNumId="4">
    <w:nsid w:val="6DA5E257"/>
    <w:multiLevelType w:val="singleLevel"/>
    <w:tmpl w:val="6DA5E257"/>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hjZjZkZDUwMDQzMTU2OWE4NDRlYTg4MmE2ZDcifQ=="/>
  </w:docVars>
  <w:rsids>
    <w:rsidRoot w:val="00000000"/>
    <w:rsid w:val="00DC009F"/>
    <w:rsid w:val="01946511"/>
    <w:rsid w:val="068B0E0A"/>
    <w:rsid w:val="16C54FA2"/>
    <w:rsid w:val="24FE26AB"/>
    <w:rsid w:val="27407A7A"/>
    <w:rsid w:val="2A7101ED"/>
    <w:rsid w:val="33D72658"/>
    <w:rsid w:val="3F144B1B"/>
    <w:rsid w:val="45AC1918"/>
    <w:rsid w:val="4CD6457E"/>
    <w:rsid w:val="50E33E9F"/>
    <w:rsid w:val="530D0920"/>
    <w:rsid w:val="60F757AA"/>
    <w:rsid w:val="61CA2629"/>
    <w:rsid w:val="63327F2A"/>
    <w:rsid w:val="63536E42"/>
    <w:rsid w:val="645F27A3"/>
    <w:rsid w:val="6AEB610F"/>
    <w:rsid w:val="6CBF509D"/>
    <w:rsid w:val="742A33B4"/>
    <w:rsid w:val="7CAF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Web)"/>
    <w:basedOn w:val="1"/>
    <w:unhideWhenUsed/>
    <w:qFormat/>
    <w:uiPriority w:val="0"/>
    <w:pPr>
      <w:spacing w:before="100" w:beforeAutospacing="1" w:after="100" w:afterAutospacing="1"/>
    </w:pPr>
  </w:style>
  <w:style w:type="character" w:styleId="5">
    <w:name w:val="Strong"/>
    <w:qFormat/>
    <w:uiPriority w:val="0"/>
    <w:rPr>
      <w:b/>
    </w:rPr>
  </w:style>
  <w:style w:type="paragraph" w:customStyle="1" w:styleId="7">
    <w:name w:val="列出段落1"/>
    <w:basedOn w:val="1"/>
    <w:qFormat/>
    <w:uiPriority w:val="99"/>
    <w:pPr>
      <w:ind w:firstLine="420" w:firstLineChars="200"/>
    </w:pPr>
    <w:rPr>
      <w:rFonts w:hint="default"/>
    </w:rPr>
  </w:style>
  <w:style w:type="paragraph" w:customStyle="1" w:styleId="8">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4898</Words>
  <Characters>5545</Characters>
  <Lines>0</Lines>
  <Paragraphs>0</Paragraphs>
  <TotalTime>1</TotalTime>
  <ScaleCrop>false</ScaleCrop>
  <LinksUpToDate>false</LinksUpToDate>
  <CharactersWithSpaces>5601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2024-10-31T09:02:30Z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8962F5080B674066ACEE00E2D954483E_12</vt:lpwstr>
  </property>
</Properties>
</file>