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3A31C">
      <w:pPr>
        <w:pStyle w:val="5"/>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重庆市铜梁区双山镇人民政府</w:t>
      </w:r>
    </w:p>
    <w:p w14:paraId="7D4D36EF">
      <w:pPr>
        <w:pStyle w:val="5"/>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3E4FBF30">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一、</w:t>
      </w:r>
      <w:r>
        <w:rPr>
          <w:rStyle w:val="8"/>
          <w:rFonts w:hint="default" w:ascii="Times New Roman" w:hAnsi="Times New Roman" w:eastAsia="方正黑体_GBK" w:cs="Times New Roman"/>
          <w:b w:val="0"/>
          <w:bCs w:val="0"/>
          <w:sz w:val="32"/>
          <w:szCs w:val="32"/>
          <w:shd w:val="clear" w:color="auto" w:fill="FFFFFF"/>
          <w:lang w:eastAsia="zh-CN"/>
        </w:rPr>
        <w:t>部门</w:t>
      </w:r>
      <w:r>
        <w:rPr>
          <w:rStyle w:val="8"/>
          <w:rFonts w:hint="default" w:ascii="Times New Roman" w:hAnsi="Times New Roman" w:eastAsia="方正黑体_GBK" w:cs="Times New Roman"/>
          <w:b w:val="0"/>
          <w:bCs w:val="0"/>
          <w:sz w:val="32"/>
          <w:szCs w:val="32"/>
          <w:shd w:val="clear" w:color="auto" w:fill="FFFFFF"/>
        </w:rPr>
        <w:t>基本情况</w:t>
      </w:r>
      <w:bookmarkStart w:id="0" w:name="_GoBack"/>
      <w:bookmarkEnd w:id="0"/>
    </w:p>
    <w:p w14:paraId="762C35AB">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楷体_GBK" w:cs="Times New Roman"/>
          <w:b w:val="0"/>
          <w:bCs w:val="0"/>
          <w:sz w:val="32"/>
          <w:szCs w:val="32"/>
          <w:shd w:val="clear" w:color="auto" w:fill="FFFFFF"/>
        </w:rPr>
        <w:t>（一）职能职责</w:t>
      </w:r>
    </w:p>
    <w:p w14:paraId="1E26DDAC">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1、在区委、区政府的领导下，贯彻执行党和国家各项方针、政策、法律、法规，负责辖区内的地区性、群众性、公益性、社会性工作。</w:t>
      </w:r>
    </w:p>
    <w:p w14:paraId="621A22EE">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2、负责精神文明建设工作，积极组织以提高村民素质为目的的活动，树文明立新风。</w:t>
      </w:r>
    </w:p>
    <w:p w14:paraId="6659D4B4">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3、做好辖区范围内城市建设和管理、市容环境卫生、园林绿化、环境保护、市政等监督、管理、服务工作。</w:t>
      </w:r>
    </w:p>
    <w:p w14:paraId="5B3F0703">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4、负责辖区内的维护稳定工作及社会治安综合治理工作、依照有关政策规定做好外来人口的管理工作。</w:t>
      </w:r>
    </w:p>
    <w:p w14:paraId="4DA962D1">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5、负责民事调解，法律服务工作，维护居民的合法权益，负责社区建设和管理，指导开展社区服务工作，大力兴办社会福利事业，发动和组织社区成员开展各类社区公益活动。</w:t>
      </w:r>
    </w:p>
    <w:p w14:paraId="32614920">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6、负责民兵、兵役、拥军优属、优抚安置、社会救济、社会福利、社区文化、科普、体育、教育、旅游工作。</w:t>
      </w:r>
    </w:p>
    <w:p w14:paraId="309BB61D">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人民调解等工作。</w:t>
      </w:r>
    </w:p>
    <w:p w14:paraId="251A8678">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8、指导和帮助居（村）民委员会搞好组织建设和制度建设，发挥居（村）民委员会的群众自治作用。</w:t>
      </w:r>
    </w:p>
    <w:p w14:paraId="2452A051">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9、配合有关部门做好防汛、防火、防震、抢险和救灾工作。</w:t>
      </w:r>
    </w:p>
    <w:p w14:paraId="5D94AB1D">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（二）机构设置</w:t>
      </w:r>
    </w:p>
    <w:p w14:paraId="4D399DBA">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纳入本部门2023年度决算编制的一级预算单位主要包括内设9个机构处室，分别是共产党机关1个，政府机关1个，事业单位有劳动就业和社会保障服务所、文化中心、农业服务中心、退役军人服务站、综合行政执法大队、乡村生态治理中心、乡村生态产业培育中心共7个单位。</w:t>
      </w:r>
    </w:p>
    <w:p w14:paraId="55552AE1">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楷体_GBK" w:cs="Times New Roman"/>
          <w:b w:val="0"/>
          <w:bCs w:val="0"/>
          <w:sz w:val="32"/>
          <w:szCs w:val="32"/>
          <w:shd w:val="clear" w:color="auto" w:fill="FFFFFF"/>
          <w:lang w:val="en-US" w:eastAsia="zh-CN"/>
        </w:rPr>
      </w:pPr>
      <w:r>
        <w:rPr>
          <w:rStyle w:val="8"/>
          <w:rFonts w:hint="default" w:ascii="Times New Roman" w:hAnsi="Times New Roman" w:eastAsia="方正楷体_GBK" w:cs="Times New Roman"/>
          <w:b w:val="0"/>
          <w:bCs w:val="0"/>
          <w:sz w:val="32"/>
          <w:szCs w:val="32"/>
          <w:shd w:val="clear" w:color="auto" w:fill="FFFFFF"/>
          <w:lang w:val="en-US" w:eastAsia="zh-CN"/>
        </w:rPr>
        <w:t>（三）单位构成</w:t>
      </w:r>
    </w:p>
    <w:p w14:paraId="25BC87F0">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从预算单位构成看，纳入本部门2024年度决算编制的二级预算单位主要包括</w:t>
      </w:r>
      <w:r>
        <w:rPr>
          <w:rFonts w:hint="default" w:ascii="Times New Roman" w:hAnsi="Times New Roman" w:eastAsia="方正仿宋_GBK" w:cs="Times New Roman"/>
          <w:b w:val="0"/>
          <w:bCs w:val="0"/>
          <w:color w:val="auto"/>
          <w:sz w:val="32"/>
          <w:szCs w:val="32"/>
          <w:shd w:val="clear" w:color="auto" w:fill="FFFFFF"/>
          <w:lang w:val="en-US" w:eastAsia="zh-CN"/>
        </w:rPr>
        <w:t>重庆市铜梁区双山镇人民政府（本级）、</w:t>
      </w:r>
      <w:r>
        <w:rPr>
          <w:rFonts w:hint="default" w:ascii="Times New Roman" w:hAnsi="Times New Roman" w:eastAsia="方正仿宋_GBK" w:cs="Times New Roman"/>
          <w:b w:val="0"/>
          <w:bCs w:val="0"/>
          <w:color w:val="auto"/>
          <w:sz w:val="32"/>
          <w:szCs w:val="32"/>
          <w:shd w:val="clear" w:color="auto" w:fill="FFFFFF"/>
          <w:lang w:val="en-US" w:eastAsia="zh-CN"/>
        </w:rPr>
        <w:t>劳动就业和社会保障服务所、文化中心、农业服务中心、退役军人服务站、综合行政执法大队、乡村生态治理中心、乡村生态产业培育中心共</w:t>
      </w:r>
      <w:r>
        <w:rPr>
          <w:rFonts w:hint="default" w:ascii="Times New Roman" w:hAnsi="Times New Roman" w:eastAsia="方正仿宋_GBK" w:cs="Times New Roman"/>
          <w:b w:val="0"/>
          <w:bCs w:val="0"/>
          <w:color w:val="auto"/>
          <w:sz w:val="32"/>
          <w:szCs w:val="32"/>
          <w:shd w:val="clear" w:color="auto" w:fill="FFFFFF"/>
          <w:lang w:val="en-US" w:eastAsia="zh-CN"/>
        </w:rPr>
        <w:t>8</w:t>
      </w:r>
      <w:r>
        <w:rPr>
          <w:rFonts w:hint="default" w:ascii="Times New Roman" w:hAnsi="Times New Roman" w:eastAsia="方正仿宋_GBK" w:cs="Times New Roman"/>
          <w:b w:val="0"/>
          <w:bCs w:val="0"/>
          <w:color w:val="auto"/>
          <w:sz w:val="32"/>
          <w:szCs w:val="32"/>
          <w:shd w:val="clear" w:color="auto" w:fill="FFFFFF"/>
          <w:lang w:val="en-US" w:eastAsia="zh-CN"/>
        </w:rPr>
        <w:t>个单位。</w:t>
      </w:r>
    </w:p>
    <w:p w14:paraId="7D1785D6">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二、</w:t>
      </w:r>
      <w:r>
        <w:rPr>
          <w:rStyle w:val="8"/>
          <w:rFonts w:hint="default" w:ascii="Times New Roman" w:hAnsi="Times New Roman" w:eastAsia="方正黑体_GBK" w:cs="Times New Roman"/>
          <w:b w:val="0"/>
          <w:bCs w:val="0"/>
          <w:sz w:val="32"/>
          <w:szCs w:val="32"/>
          <w:shd w:val="clear" w:color="auto" w:fill="FFFFFF"/>
          <w:lang w:eastAsia="zh-CN"/>
        </w:rPr>
        <w:t>部门</w:t>
      </w:r>
      <w:r>
        <w:rPr>
          <w:rStyle w:val="8"/>
          <w:rFonts w:hint="default" w:ascii="Times New Roman" w:hAnsi="Times New Roman" w:eastAsia="方正黑体_GBK" w:cs="Times New Roman"/>
          <w:b w:val="0"/>
          <w:bCs w:val="0"/>
          <w:sz w:val="32"/>
          <w:szCs w:val="32"/>
          <w:shd w:val="clear" w:color="auto" w:fill="FFFFFF"/>
        </w:rPr>
        <w:t>决算</w:t>
      </w:r>
      <w:r>
        <w:rPr>
          <w:rStyle w:val="8"/>
          <w:rFonts w:hint="default" w:ascii="Times New Roman" w:hAnsi="Times New Roman" w:eastAsia="方正黑体_GBK" w:cs="Times New Roman"/>
          <w:b w:val="0"/>
          <w:bCs w:val="0"/>
          <w:sz w:val="32"/>
          <w:szCs w:val="32"/>
          <w:shd w:val="clear" w:color="auto" w:fill="FFFFFF"/>
          <w:lang w:eastAsia="zh-CN"/>
        </w:rPr>
        <w:t>收支</w:t>
      </w:r>
      <w:r>
        <w:rPr>
          <w:rStyle w:val="8"/>
          <w:rFonts w:hint="default" w:ascii="Times New Roman" w:hAnsi="Times New Roman" w:eastAsia="方正黑体_GBK" w:cs="Times New Roman"/>
          <w:b w:val="0"/>
          <w:bCs w:val="0"/>
          <w:sz w:val="32"/>
          <w:szCs w:val="32"/>
          <w:shd w:val="clear" w:color="auto" w:fill="FFFFFF"/>
        </w:rPr>
        <w:t>情况说明</w:t>
      </w:r>
    </w:p>
    <w:p w14:paraId="5EEA336A">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7233022E">
      <w:pPr>
        <w:pStyle w:val="5"/>
        <w:keepNext w:val="0"/>
        <w:keepLines w:val="0"/>
        <w:pageBreakBefore w:val="0"/>
        <w:widowControl w:val="0"/>
        <w:shd w:val="clear"/>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度收入总计1729.97万元，支出总计</w:t>
      </w:r>
      <w:r>
        <w:rPr>
          <w:rFonts w:hint="default" w:ascii="Times New Roman" w:hAnsi="Times New Roman" w:eastAsia="方正仿宋_GBK" w:cs="Times New Roman"/>
          <w:b w:val="0"/>
          <w:bCs w:val="0"/>
          <w:sz w:val="32"/>
          <w:szCs w:val="32"/>
        </w:rPr>
        <w:t>1729.97</w:t>
      </w:r>
      <w:r>
        <w:rPr>
          <w:rFonts w:hint="default" w:ascii="Times New Roman" w:hAnsi="Times New Roman" w:eastAsia="方正仿宋_GBK" w:cs="Times New Roman"/>
          <w:b w:val="0"/>
          <w:bCs w:val="0"/>
          <w:sz w:val="32"/>
          <w:szCs w:val="32"/>
          <w:shd w:val="clear" w:color="auto" w:fill="FFFFFF"/>
        </w:rPr>
        <w:t>万元。收、支与2023年度相比，减少685.90万元，下降28.4%，主要原因是</w:t>
      </w:r>
      <w:r>
        <w:rPr>
          <w:rFonts w:hint="default" w:ascii="Times New Roman" w:hAnsi="Times New Roman" w:eastAsia="方正仿宋_GBK" w:cs="Times New Roman"/>
          <w:b w:val="0"/>
          <w:bCs w:val="0"/>
          <w:sz w:val="32"/>
          <w:szCs w:val="32"/>
          <w:shd w:val="clear" w:color="auto" w:fill="FFFFFF"/>
          <w:lang w:eastAsia="zh-CN"/>
        </w:rPr>
        <w:t>我单位严格执行中央八项规定，项目减少、财政拨款减少等</w:t>
      </w:r>
      <w:r>
        <w:rPr>
          <w:rFonts w:hint="default" w:ascii="Times New Roman" w:hAnsi="Times New Roman" w:eastAsia="方正仿宋_GBK" w:cs="Times New Roman"/>
          <w:b w:val="0"/>
          <w:bCs w:val="0"/>
          <w:color w:val="auto"/>
          <w:sz w:val="32"/>
          <w:szCs w:val="32"/>
          <w:shd w:val="clear" w:color="auto" w:fill="FFFFFF"/>
        </w:rPr>
        <w:t>。</w:t>
      </w:r>
    </w:p>
    <w:p w14:paraId="1B420358">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度收入合计1714.97万元，与2023年度相比，减少685.90万元，下降28.6%，主要原因是</w:t>
      </w:r>
      <w:r>
        <w:rPr>
          <w:rFonts w:hint="default" w:ascii="Times New Roman" w:hAnsi="Times New Roman" w:eastAsia="方正仿宋_GBK" w:cs="Times New Roman"/>
          <w:b w:val="0"/>
          <w:bCs w:val="0"/>
          <w:color w:val="auto"/>
          <w:sz w:val="32"/>
          <w:szCs w:val="32"/>
          <w:shd w:val="clear" w:color="auto" w:fill="FFFFFF"/>
        </w:rPr>
        <w:t>我单位项目减少</w:t>
      </w:r>
      <w:r>
        <w:rPr>
          <w:rFonts w:hint="default" w:ascii="Times New Roman" w:hAnsi="Times New Roman" w:eastAsia="方正仿宋_GBK" w:cs="Times New Roman"/>
          <w:b w:val="0"/>
          <w:bCs w:val="0"/>
          <w:color w:val="auto"/>
          <w:sz w:val="32"/>
          <w:szCs w:val="32"/>
          <w:shd w:val="clear" w:color="auto" w:fill="FFFFFF"/>
          <w:lang w:eastAsia="zh-CN"/>
        </w:rPr>
        <w:t>、财政拨款减少</w:t>
      </w:r>
      <w:r>
        <w:rPr>
          <w:rFonts w:hint="default" w:ascii="Times New Roman" w:hAnsi="Times New Roman" w:eastAsia="方正仿宋_GBK" w:cs="Times New Roman"/>
          <w:b w:val="0"/>
          <w:bCs w:val="0"/>
          <w:color w:val="auto"/>
          <w:sz w:val="32"/>
          <w:szCs w:val="32"/>
          <w:shd w:val="clear" w:color="auto" w:fill="FFFFFF"/>
        </w:rPr>
        <w:t>等</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1714.97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万元，占0.00%；经营收入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万元，占0.00%；其他收入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15.00</w:t>
      </w:r>
      <w:r>
        <w:rPr>
          <w:rFonts w:hint="default" w:ascii="Times New Roman" w:hAnsi="Times New Roman" w:eastAsia="方正仿宋_GBK" w:cs="Times New Roman"/>
          <w:b w:val="0"/>
          <w:bCs w:val="0"/>
          <w:sz w:val="32"/>
          <w:szCs w:val="32"/>
          <w:shd w:val="clear" w:color="auto" w:fill="FFFFFF"/>
        </w:rPr>
        <w:t>万元。</w:t>
      </w:r>
    </w:p>
    <w:p w14:paraId="58D7B444">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1714.97</w:t>
      </w:r>
      <w:r>
        <w:rPr>
          <w:rFonts w:hint="default" w:ascii="Times New Roman" w:hAnsi="Times New Roman" w:eastAsia="方正仿宋_GBK" w:cs="Times New Roman"/>
          <w:b w:val="0"/>
          <w:bCs w:val="0"/>
          <w:sz w:val="32"/>
          <w:szCs w:val="32"/>
          <w:shd w:val="clear" w:color="auto" w:fill="FFFFFF"/>
        </w:rPr>
        <w:t>万元，与2023年度相比，减少685.90万元，下降28.6%，主要原因是</w:t>
      </w:r>
      <w:r>
        <w:rPr>
          <w:rFonts w:hint="default" w:ascii="Times New Roman" w:hAnsi="Times New Roman" w:eastAsia="方正仿宋_GBK" w:cs="Times New Roman"/>
          <w:b w:val="0"/>
          <w:bCs w:val="0"/>
          <w:sz w:val="32"/>
          <w:szCs w:val="32"/>
          <w:shd w:val="clear" w:color="auto" w:fill="FFFFFF"/>
        </w:rPr>
        <w:t>我单位严格执行中央八项规定，项目减少等</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1157.82</w:t>
      </w:r>
      <w:r>
        <w:rPr>
          <w:rFonts w:hint="default" w:ascii="Times New Roman" w:hAnsi="Times New Roman" w:eastAsia="方正仿宋_GBK" w:cs="Times New Roman"/>
          <w:b w:val="0"/>
          <w:bCs w:val="0"/>
          <w:sz w:val="32"/>
          <w:szCs w:val="32"/>
          <w:shd w:val="clear" w:color="auto" w:fill="FFFFFF"/>
        </w:rPr>
        <w:t>万元，占67.51%；项目支出</w:t>
      </w:r>
      <w:r>
        <w:rPr>
          <w:rFonts w:hint="default" w:ascii="Times New Roman" w:hAnsi="Times New Roman" w:eastAsia="方正仿宋_GBK" w:cs="Times New Roman"/>
          <w:b w:val="0"/>
          <w:bCs w:val="0"/>
          <w:sz w:val="32"/>
          <w:szCs w:val="32"/>
        </w:rPr>
        <w:t>557.14</w:t>
      </w:r>
      <w:r>
        <w:rPr>
          <w:rFonts w:hint="default" w:ascii="Times New Roman" w:hAnsi="Times New Roman" w:eastAsia="方正仿宋_GBK" w:cs="Times New Roman"/>
          <w:b w:val="0"/>
          <w:bCs w:val="0"/>
          <w:sz w:val="32"/>
          <w:szCs w:val="32"/>
          <w:shd w:val="clear" w:color="auto" w:fill="FFFFFF"/>
        </w:rPr>
        <w:t>万元，占32.49%；经营支出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14:paraId="39E183D9">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15.00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color w:val="auto"/>
          <w:sz w:val="32"/>
          <w:szCs w:val="32"/>
          <w:shd w:val="clear" w:color="auto" w:fill="FFFFFF"/>
        </w:rPr>
        <w:t>。</w:t>
      </w:r>
    </w:p>
    <w:p w14:paraId="220C8BBC">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294EE6ED">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度财政拨款收、支总计1729.97万元。与202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年相比，财政拨款收、支总计各减少685.90万元，下降28.4%。主要原因是</w:t>
      </w:r>
      <w:r>
        <w:rPr>
          <w:rFonts w:hint="default" w:ascii="Times New Roman" w:hAnsi="Times New Roman" w:eastAsia="方正仿宋_GBK" w:cs="Times New Roman"/>
          <w:b w:val="0"/>
          <w:bCs w:val="0"/>
          <w:color w:val="auto"/>
          <w:sz w:val="32"/>
          <w:szCs w:val="32"/>
          <w:shd w:val="clear" w:color="auto" w:fill="FFFFFF"/>
        </w:rPr>
        <w:t>我单位项目减少</w:t>
      </w:r>
      <w:r>
        <w:rPr>
          <w:rFonts w:hint="default" w:ascii="Times New Roman" w:hAnsi="Times New Roman" w:eastAsia="方正仿宋_GBK" w:cs="Times New Roman"/>
          <w:b w:val="0"/>
          <w:bCs w:val="0"/>
          <w:color w:val="auto"/>
          <w:sz w:val="32"/>
          <w:szCs w:val="32"/>
          <w:shd w:val="clear" w:color="auto" w:fill="FFFFFF"/>
          <w:lang w:eastAsia="zh-CN"/>
        </w:rPr>
        <w:t>、财政拨款减少</w:t>
      </w:r>
      <w:r>
        <w:rPr>
          <w:rFonts w:hint="default" w:ascii="Times New Roman" w:hAnsi="Times New Roman" w:eastAsia="方正仿宋_GBK" w:cs="Times New Roman"/>
          <w:b w:val="0"/>
          <w:bCs w:val="0"/>
          <w:color w:val="auto"/>
          <w:sz w:val="32"/>
          <w:szCs w:val="32"/>
          <w:shd w:val="clear" w:color="auto" w:fill="FFFFFF"/>
        </w:rPr>
        <w:t>等</w:t>
      </w:r>
      <w:r>
        <w:rPr>
          <w:rFonts w:hint="default" w:ascii="Times New Roman" w:hAnsi="Times New Roman" w:eastAsia="方正仿宋_GBK" w:cs="Times New Roman"/>
          <w:b w:val="0"/>
          <w:bCs w:val="0"/>
          <w:color w:val="auto"/>
          <w:sz w:val="32"/>
          <w:szCs w:val="32"/>
          <w:shd w:val="clear" w:color="auto" w:fill="FFFFFF"/>
        </w:rPr>
        <w:t>。</w:t>
      </w:r>
    </w:p>
    <w:p w14:paraId="547A5EBA">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0545C5F1">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1714.97</w:t>
      </w:r>
      <w:r>
        <w:rPr>
          <w:rFonts w:hint="default" w:ascii="Times New Roman" w:hAnsi="Times New Roman" w:eastAsia="方正仿宋_GBK" w:cs="Times New Roman"/>
          <w:b w:val="0"/>
          <w:bCs w:val="0"/>
          <w:sz w:val="32"/>
          <w:szCs w:val="32"/>
          <w:shd w:val="clear" w:color="auto" w:fill="FFFFFF"/>
        </w:rPr>
        <w:t>万元，与2023年度相比，减少685.90万元，下降28.6%。主要原因是</w:t>
      </w:r>
      <w:r>
        <w:rPr>
          <w:rFonts w:hint="default" w:ascii="Times New Roman" w:hAnsi="Times New Roman" w:eastAsia="方正仿宋_GBK" w:cs="Times New Roman"/>
          <w:b w:val="0"/>
          <w:bCs w:val="0"/>
          <w:color w:val="auto"/>
          <w:sz w:val="32"/>
          <w:szCs w:val="32"/>
          <w:shd w:val="clear" w:color="auto" w:fill="FFFFFF"/>
          <w:lang w:eastAsia="zh-CN"/>
        </w:rPr>
        <w:t>项目减少、财政拨款减少</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较年初预算数减少296.99万元，下降14.8%。主要原因是</w:t>
      </w:r>
      <w:r>
        <w:rPr>
          <w:rFonts w:hint="default" w:ascii="Times New Roman" w:hAnsi="Times New Roman" w:eastAsia="方正仿宋_GBK" w:cs="Times New Roman"/>
          <w:b w:val="0"/>
          <w:bCs w:val="0"/>
          <w:color w:val="auto"/>
          <w:sz w:val="32"/>
          <w:szCs w:val="32"/>
          <w:shd w:val="clear" w:color="auto" w:fill="FFFFFF"/>
          <w:lang w:eastAsia="zh-CN"/>
        </w:rPr>
        <w:t>我单位项目减少，财政拨款减少</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15.00</w:t>
      </w:r>
      <w:r>
        <w:rPr>
          <w:rFonts w:hint="default" w:ascii="Times New Roman" w:hAnsi="Times New Roman" w:eastAsia="方正仿宋_GBK" w:cs="Times New Roman"/>
          <w:b w:val="0"/>
          <w:bCs w:val="0"/>
          <w:sz w:val="32"/>
          <w:szCs w:val="32"/>
          <w:shd w:val="clear" w:color="auto" w:fill="FFFFFF"/>
        </w:rPr>
        <w:t>万元。</w:t>
      </w:r>
    </w:p>
    <w:p w14:paraId="7673C025">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1714.97</w:t>
      </w:r>
      <w:r>
        <w:rPr>
          <w:rFonts w:hint="default" w:ascii="Times New Roman" w:hAnsi="Times New Roman" w:eastAsia="方正仿宋_GBK" w:cs="Times New Roman"/>
          <w:b w:val="0"/>
          <w:bCs w:val="0"/>
          <w:sz w:val="32"/>
          <w:szCs w:val="32"/>
          <w:shd w:val="clear" w:color="auto" w:fill="FFFFFF"/>
        </w:rPr>
        <w:t>万元，与2023年度相比，减少685.90万元，下降28.6%。主要原因是</w:t>
      </w:r>
      <w:r>
        <w:rPr>
          <w:rFonts w:hint="default" w:ascii="Times New Roman" w:hAnsi="Times New Roman" w:eastAsia="方正仿宋_GBK" w:cs="Times New Roman"/>
          <w:b w:val="0"/>
          <w:bCs w:val="0"/>
          <w:color w:val="auto"/>
          <w:sz w:val="32"/>
          <w:szCs w:val="32"/>
          <w:shd w:val="clear" w:color="auto" w:fill="FFFFFF"/>
          <w:lang w:eastAsia="zh-CN"/>
        </w:rPr>
        <w:t>我单位严格执行中央八项规定，项目减少</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较年初预算数减少296.99万元，下降14.8%。主要原因是</w:t>
      </w:r>
      <w:r>
        <w:rPr>
          <w:rFonts w:hint="default" w:ascii="Times New Roman" w:hAnsi="Times New Roman" w:eastAsia="方正仿宋_GBK" w:cs="Times New Roman"/>
          <w:b w:val="0"/>
          <w:bCs w:val="0"/>
          <w:color w:val="auto"/>
          <w:sz w:val="32"/>
          <w:szCs w:val="32"/>
          <w:shd w:val="clear" w:color="auto" w:fill="FFFFFF"/>
          <w:lang w:eastAsia="zh-CN"/>
        </w:rPr>
        <w:t>我单位严格执行中央八项规定，项目减少</w:t>
      </w:r>
      <w:r>
        <w:rPr>
          <w:rFonts w:hint="default" w:ascii="Times New Roman" w:hAnsi="Times New Roman" w:eastAsia="方正仿宋_GBK" w:cs="Times New Roman"/>
          <w:b w:val="0"/>
          <w:bCs w:val="0"/>
          <w:color w:val="auto"/>
          <w:sz w:val="32"/>
          <w:szCs w:val="32"/>
          <w:shd w:val="clear" w:color="auto" w:fill="FFFFFF"/>
        </w:rPr>
        <w:t>。</w:t>
      </w:r>
    </w:p>
    <w:p w14:paraId="6FA711D4">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15.00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745E24F6">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0918C044">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（1）一般公共服务支出</w:t>
      </w:r>
      <w:r>
        <w:rPr>
          <w:rFonts w:hint="default" w:ascii="Times New Roman" w:hAnsi="Times New Roman" w:eastAsia="方正仿宋_GBK" w:cs="Times New Roman"/>
          <w:b w:val="0"/>
          <w:bCs w:val="0"/>
          <w:color w:val="auto"/>
          <w:sz w:val="32"/>
          <w:szCs w:val="32"/>
        </w:rPr>
        <w:t>475.47</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27.72</w:t>
      </w:r>
      <w:r>
        <w:rPr>
          <w:rFonts w:hint="default" w:ascii="Times New Roman" w:hAnsi="Times New Roman" w:eastAsia="方正仿宋_GBK" w:cs="Times New Roman"/>
          <w:b w:val="0"/>
          <w:bCs w:val="0"/>
          <w:color w:val="auto"/>
          <w:sz w:val="32"/>
          <w:szCs w:val="32"/>
          <w:shd w:val="clear" w:color="auto" w:fill="FFFFFF"/>
        </w:rPr>
        <w:t>%，较年初预算数减少97.12万元，下降17.0%，主要原因是</w:t>
      </w:r>
      <w:r>
        <w:rPr>
          <w:rFonts w:hint="default" w:ascii="Times New Roman" w:hAnsi="Times New Roman" w:eastAsia="方正仿宋_GBK" w:cs="Times New Roman"/>
          <w:b w:val="0"/>
          <w:bCs w:val="0"/>
          <w:color w:val="auto"/>
          <w:sz w:val="32"/>
          <w:szCs w:val="32"/>
          <w:shd w:val="clear" w:color="auto" w:fill="FFFFFF"/>
          <w:lang w:eastAsia="zh-CN"/>
        </w:rPr>
        <w:t>我单位严格执行中央八项规定，人员减少等</w:t>
      </w:r>
      <w:r>
        <w:rPr>
          <w:rFonts w:hint="default" w:ascii="Times New Roman" w:hAnsi="Times New Roman" w:eastAsia="方正仿宋_GBK" w:cs="Times New Roman"/>
          <w:b w:val="0"/>
          <w:bCs w:val="0"/>
          <w:color w:val="auto"/>
          <w:sz w:val="32"/>
          <w:szCs w:val="32"/>
          <w:shd w:val="clear" w:color="auto" w:fill="FFFFFF"/>
        </w:rPr>
        <w:t>。</w:t>
      </w:r>
    </w:p>
    <w:p w14:paraId="75169EE7">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）文化旅游体育与传媒支出</w:t>
      </w:r>
      <w:r>
        <w:rPr>
          <w:rFonts w:hint="default" w:ascii="Times New Roman" w:hAnsi="Times New Roman" w:eastAsia="方正仿宋_GBK" w:cs="Times New Roman"/>
          <w:b w:val="0"/>
          <w:bCs w:val="0"/>
          <w:color w:val="auto"/>
          <w:sz w:val="32"/>
          <w:szCs w:val="32"/>
        </w:rPr>
        <w:t>51.86</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3.02</w:t>
      </w:r>
      <w:r>
        <w:rPr>
          <w:rFonts w:hint="default" w:ascii="Times New Roman" w:hAnsi="Times New Roman" w:eastAsia="方正仿宋_GBK" w:cs="Times New Roman"/>
          <w:b w:val="0"/>
          <w:bCs w:val="0"/>
          <w:color w:val="auto"/>
          <w:sz w:val="32"/>
          <w:szCs w:val="32"/>
          <w:shd w:val="clear" w:color="auto" w:fill="FFFFFF"/>
        </w:rPr>
        <w:t>%，较年初预算数减少12.12万元，下降18.9%，主要原因是</w:t>
      </w:r>
      <w:r>
        <w:rPr>
          <w:rFonts w:hint="default" w:ascii="Times New Roman" w:hAnsi="Times New Roman" w:eastAsia="方正仿宋_GBK" w:cs="Times New Roman"/>
          <w:b w:val="0"/>
          <w:bCs w:val="0"/>
          <w:color w:val="auto"/>
          <w:sz w:val="32"/>
          <w:szCs w:val="32"/>
          <w:shd w:val="clear" w:color="auto" w:fill="FFFFFF"/>
          <w:lang w:eastAsia="zh-CN"/>
        </w:rPr>
        <w:t>我单位文化旅游活动项目减少</w:t>
      </w:r>
      <w:r>
        <w:rPr>
          <w:rFonts w:hint="default" w:ascii="Times New Roman" w:hAnsi="Times New Roman" w:eastAsia="方正仿宋_GBK" w:cs="Times New Roman"/>
          <w:b w:val="0"/>
          <w:bCs w:val="0"/>
          <w:color w:val="auto"/>
          <w:sz w:val="32"/>
          <w:szCs w:val="32"/>
          <w:shd w:val="clear" w:color="auto" w:fill="FFFFFF"/>
        </w:rPr>
        <w:t>。</w:t>
      </w:r>
    </w:p>
    <w:p w14:paraId="2D54880A">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）社会保障与就业支出</w:t>
      </w:r>
      <w:r>
        <w:rPr>
          <w:rFonts w:hint="default" w:ascii="Times New Roman" w:hAnsi="Times New Roman" w:eastAsia="方正仿宋_GBK" w:cs="Times New Roman"/>
          <w:b w:val="0"/>
          <w:bCs w:val="0"/>
          <w:color w:val="auto"/>
          <w:sz w:val="32"/>
          <w:szCs w:val="32"/>
        </w:rPr>
        <w:t>275.00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16.04</w:t>
      </w:r>
      <w:r>
        <w:rPr>
          <w:rFonts w:hint="default" w:ascii="Times New Roman" w:hAnsi="Times New Roman" w:eastAsia="方正仿宋_GBK" w:cs="Times New Roman"/>
          <w:b w:val="0"/>
          <w:bCs w:val="0"/>
          <w:color w:val="auto"/>
          <w:sz w:val="32"/>
          <w:szCs w:val="32"/>
          <w:shd w:val="clear" w:color="auto" w:fill="FFFFFF"/>
        </w:rPr>
        <w:t>%，较年初预算数减少7.51万元，下降2.7%，主要原因是</w:t>
      </w:r>
      <w:r>
        <w:rPr>
          <w:rFonts w:hint="default" w:ascii="Times New Roman" w:hAnsi="Times New Roman" w:eastAsia="方正仿宋_GBK" w:cs="Times New Roman"/>
          <w:b w:val="0"/>
          <w:bCs w:val="0"/>
          <w:color w:val="auto"/>
          <w:sz w:val="32"/>
          <w:szCs w:val="32"/>
          <w:shd w:val="clear" w:color="auto" w:fill="FFFFFF"/>
          <w:lang w:eastAsia="zh-CN"/>
        </w:rPr>
        <w:t>我单位人员减少</w:t>
      </w:r>
      <w:r>
        <w:rPr>
          <w:rFonts w:hint="default" w:ascii="Times New Roman" w:hAnsi="Times New Roman" w:eastAsia="方正仿宋_GBK" w:cs="Times New Roman"/>
          <w:b w:val="0"/>
          <w:bCs w:val="0"/>
          <w:color w:val="auto"/>
          <w:sz w:val="32"/>
          <w:szCs w:val="32"/>
          <w:shd w:val="clear" w:color="auto" w:fill="FFFFFF"/>
        </w:rPr>
        <w:t>。</w:t>
      </w:r>
    </w:p>
    <w:p w14:paraId="3F4A7497">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）卫生健康支出</w:t>
      </w:r>
      <w:r>
        <w:rPr>
          <w:rFonts w:hint="default" w:ascii="Times New Roman" w:hAnsi="Times New Roman" w:eastAsia="方正仿宋_GBK" w:cs="Times New Roman"/>
          <w:b w:val="0"/>
          <w:bCs w:val="0"/>
          <w:color w:val="auto"/>
          <w:sz w:val="32"/>
          <w:szCs w:val="32"/>
        </w:rPr>
        <w:t>49.23</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2.87</w:t>
      </w:r>
      <w:r>
        <w:rPr>
          <w:rFonts w:hint="default" w:ascii="Times New Roman" w:hAnsi="Times New Roman" w:eastAsia="方正仿宋_GBK" w:cs="Times New Roman"/>
          <w:b w:val="0"/>
          <w:bCs w:val="0"/>
          <w:color w:val="auto"/>
          <w:sz w:val="32"/>
          <w:szCs w:val="32"/>
          <w:shd w:val="clear" w:color="auto" w:fill="FFFFFF"/>
        </w:rPr>
        <w:t>%，较年初预算数减少17.76万元，下降26.5%，主要原因是</w:t>
      </w:r>
      <w:r>
        <w:rPr>
          <w:rFonts w:hint="default" w:ascii="Times New Roman" w:hAnsi="Times New Roman" w:eastAsia="方正仿宋_GBK" w:cs="Times New Roman"/>
          <w:b w:val="0"/>
          <w:bCs w:val="0"/>
          <w:color w:val="auto"/>
          <w:sz w:val="32"/>
          <w:szCs w:val="32"/>
          <w:shd w:val="clear" w:color="auto" w:fill="FFFFFF"/>
          <w:lang w:eastAsia="zh-CN"/>
        </w:rPr>
        <w:t>本年度未发生卫生健康事件，卫生健康工作平稳有序</w:t>
      </w:r>
      <w:r>
        <w:rPr>
          <w:rFonts w:hint="default" w:ascii="Times New Roman" w:hAnsi="Times New Roman" w:eastAsia="方正仿宋_GBK" w:cs="Times New Roman"/>
          <w:b w:val="0"/>
          <w:bCs w:val="0"/>
          <w:color w:val="auto"/>
          <w:sz w:val="32"/>
          <w:szCs w:val="32"/>
          <w:shd w:val="clear" w:color="auto" w:fill="FFFFFF"/>
        </w:rPr>
        <w:t>。</w:t>
      </w:r>
    </w:p>
    <w:p w14:paraId="6F4677F7">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5</w:t>
      </w:r>
      <w:r>
        <w:rPr>
          <w:rFonts w:hint="default" w:ascii="Times New Roman" w:hAnsi="Times New Roman" w:eastAsia="方正仿宋_GBK" w:cs="Times New Roman"/>
          <w:b w:val="0"/>
          <w:bCs w:val="0"/>
          <w:color w:val="auto"/>
          <w:sz w:val="32"/>
          <w:szCs w:val="32"/>
          <w:shd w:val="clear" w:color="auto" w:fill="FFFFFF"/>
        </w:rPr>
        <w:t>）节能环保支出</w:t>
      </w:r>
      <w:r>
        <w:rPr>
          <w:rFonts w:hint="default" w:ascii="Times New Roman" w:hAnsi="Times New Roman" w:eastAsia="方正仿宋_GBK" w:cs="Times New Roman"/>
          <w:b w:val="0"/>
          <w:bCs w:val="0"/>
          <w:color w:val="auto"/>
          <w:sz w:val="32"/>
          <w:szCs w:val="32"/>
        </w:rPr>
        <w:t>57.49</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3.35</w:t>
      </w:r>
      <w:r>
        <w:rPr>
          <w:rFonts w:hint="default" w:ascii="Times New Roman" w:hAnsi="Times New Roman" w:eastAsia="方正仿宋_GBK" w:cs="Times New Roman"/>
          <w:b w:val="0"/>
          <w:bCs w:val="0"/>
          <w:color w:val="auto"/>
          <w:sz w:val="32"/>
          <w:szCs w:val="32"/>
          <w:shd w:val="clear" w:color="auto" w:fill="FFFFFF"/>
        </w:rPr>
        <w:t>%，较年初预算数减少71.95万元，下降55.6%，主要原因是</w:t>
      </w:r>
      <w:r>
        <w:rPr>
          <w:rFonts w:hint="default" w:ascii="Times New Roman" w:hAnsi="Times New Roman" w:eastAsia="方正仿宋_GBK" w:cs="Times New Roman"/>
          <w:b w:val="0"/>
          <w:bCs w:val="0"/>
          <w:color w:val="auto"/>
          <w:sz w:val="32"/>
          <w:szCs w:val="32"/>
          <w:shd w:val="clear" w:color="auto" w:fill="FFFFFF"/>
          <w:lang w:eastAsia="zh-CN"/>
        </w:rPr>
        <w:t>节能环保方面财政拨款减少</w:t>
      </w:r>
      <w:r>
        <w:rPr>
          <w:rFonts w:hint="default" w:ascii="Times New Roman" w:hAnsi="Times New Roman" w:eastAsia="方正仿宋_GBK" w:cs="Times New Roman"/>
          <w:b w:val="0"/>
          <w:bCs w:val="0"/>
          <w:color w:val="auto"/>
          <w:sz w:val="32"/>
          <w:szCs w:val="32"/>
          <w:shd w:val="clear" w:color="auto" w:fill="FFFFFF"/>
        </w:rPr>
        <w:t>。</w:t>
      </w:r>
    </w:p>
    <w:p w14:paraId="0397B85F">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rPr>
        <w:t>）城乡社区支出</w:t>
      </w:r>
      <w:r>
        <w:rPr>
          <w:rFonts w:hint="default" w:ascii="Times New Roman" w:hAnsi="Times New Roman" w:eastAsia="方正仿宋_GBK" w:cs="Times New Roman"/>
          <w:b w:val="0"/>
          <w:bCs w:val="0"/>
          <w:color w:val="auto"/>
          <w:sz w:val="32"/>
          <w:szCs w:val="32"/>
        </w:rPr>
        <w:t>9.21</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0.54</w:t>
      </w:r>
      <w:r>
        <w:rPr>
          <w:rFonts w:hint="default" w:ascii="Times New Roman" w:hAnsi="Times New Roman" w:eastAsia="方正仿宋_GBK" w:cs="Times New Roman"/>
          <w:b w:val="0"/>
          <w:bCs w:val="0"/>
          <w:color w:val="auto"/>
          <w:sz w:val="32"/>
          <w:szCs w:val="32"/>
          <w:shd w:val="clear" w:color="auto" w:fill="FFFFFF"/>
        </w:rPr>
        <w:t>%，较年初预算数减少40.29万元，下降81.4%，主要原因是</w:t>
      </w:r>
      <w:r>
        <w:rPr>
          <w:rFonts w:hint="default" w:ascii="Times New Roman" w:hAnsi="Times New Roman" w:eastAsia="方正仿宋_GBK" w:cs="Times New Roman"/>
          <w:b w:val="0"/>
          <w:bCs w:val="0"/>
          <w:color w:val="auto"/>
          <w:sz w:val="32"/>
          <w:szCs w:val="32"/>
          <w:shd w:val="clear" w:color="auto" w:fill="FFFFFF"/>
          <w:lang w:eastAsia="zh-CN"/>
        </w:rPr>
        <w:t>城乡社区方面财政拨款减少</w:t>
      </w:r>
      <w:r>
        <w:rPr>
          <w:rFonts w:hint="default" w:ascii="Times New Roman" w:hAnsi="Times New Roman" w:eastAsia="方正仿宋_GBK" w:cs="Times New Roman"/>
          <w:b w:val="0"/>
          <w:bCs w:val="0"/>
          <w:color w:val="auto"/>
          <w:sz w:val="32"/>
          <w:szCs w:val="32"/>
          <w:shd w:val="clear" w:color="auto" w:fill="FFFFFF"/>
        </w:rPr>
        <w:t>。</w:t>
      </w:r>
    </w:p>
    <w:p w14:paraId="55CD7189">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673.39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39.27</w:t>
      </w:r>
      <w:r>
        <w:rPr>
          <w:rFonts w:hint="default" w:ascii="Times New Roman" w:hAnsi="Times New Roman" w:eastAsia="方正仿宋_GBK" w:cs="Times New Roman"/>
          <w:b w:val="0"/>
          <w:bCs w:val="0"/>
          <w:sz w:val="32"/>
          <w:szCs w:val="32"/>
          <w:shd w:val="clear" w:color="auto" w:fill="FFFFFF"/>
        </w:rPr>
        <w:t>%，较年初预算数减少84.10万元，下降11.1%，主</w:t>
      </w:r>
      <w:r>
        <w:rPr>
          <w:rFonts w:hint="default" w:ascii="Times New Roman" w:hAnsi="Times New Roman" w:eastAsia="方正仿宋_GBK" w:cs="Times New Roman"/>
          <w:b w:val="0"/>
          <w:bCs w:val="0"/>
          <w:color w:val="auto"/>
          <w:sz w:val="32"/>
          <w:szCs w:val="32"/>
          <w:shd w:val="clear" w:color="auto" w:fill="FFFFFF"/>
        </w:rPr>
        <w:t>要原因是</w:t>
      </w:r>
      <w:r>
        <w:rPr>
          <w:rFonts w:hint="default" w:ascii="Times New Roman" w:hAnsi="Times New Roman" w:eastAsia="方正仿宋_GBK" w:cs="Times New Roman"/>
          <w:b w:val="0"/>
          <w:bCs w:val="0"/>
          <w:color w:val="auto"/>
          <w:sz w:val="32"/>
          <w:szCs w:val="32"/>
          <w:shd w:val="clear" w:color="auto" w:fill="FFFFFF"/>
          <w:lang w:eastAsia="zh-CN"/>
        </w:rPr>
        <w:t>农林水项目减少</w:t>
      </w:r>
      <w:r>
        <w:rPr>
          <w:rFonts w:hint="default" w:ascii="Times New Roman" w:hAnsi="Times New Roman" w:eastAsia="方正仿宋_GBK" w:cs="Times New Roman"/>
          <w:b w:val="0"/>
          <w:bCs w:val="0"/>
          <w:color w:val="auto"/>
          <w:sz w:val="32"/>
          <w:szCs w:val="32"/>
          <w:shd w:val="clear" w:color="auto" w:fill="FFFFFF"/>
        </w:rPr>
        <w:t>。</w:t>
      </w:r>
    </w:p>
    <w:p w14:paraId="08263816">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8</w:t>
      </w:r>
      <w:r>
        <w:rPr>
          <w:rFonts w:hint="default" w:ascii="Times New Roman" w:hAnsi="Times New Roman" w:eastAsia="方正仿宋_GBK" w:cs="Times New Roman"/>
          <w:b w:val="0"/>
          <w:bCs w:val="0"/>
          <w:color w:val="auto"/>
          <w:sz w:val="32"/>
          <w:szCs w:val="32"/>
          <w:shd w:val="clear" w:color="auto" w:fill="FFFFFF"/>
        </w:rPr>
        <w:t>）交通运输支出</w:t>
      </w:r>
      <w:r>
        <w:rPr>
          <w:rFonts w:hint="default" w:ascii="Times New Roman" w:hAnsi="Times New Roman" w:eastAsia="方正仿宋_GBK" w:cs="Times New Roman"/>
          <w:b w:val="0"/>
          <w:bCs w:val="0"/>
          <w:color w:val="auto"/>
          <w:sz w:val="32"/>
          <w:szCs w:val="32"/>
        </w:rPr>
        <w:t>48.95</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2.85</w:t>
      </w:r>
      <w:r>
        <w:rPr>
          <w:rFonts w:hint="default" w:ascii="Times New Roman" w:hAnsi="Times New Roman" w:eastAsia="方正仿宋_GBK" w:cs="Times New Roman"/>
          <w:b w:val="0"/>
          <w:bCs w:val="0"/>
          <w:color w:val="auto"/>
          <w:sz w:val="32"/>
          <w:szCs w:val="32"/>
          <w:shd w:val="clear" w:color="auto" w:fill="FFFFFF"/>
        </w:rPr>
        <w:t>%，较年初预算数增加18.95万元，增长63.2%，主要原因是</w:t>
      </w:r>
      <w:r>
        <w:rPr>
          <w:rFonts w:hint="default" w:ascii="Times New Roman" w:hAnsi="Times New Roman" w:eastAsia="方正仿宋_GBK" w:cs="Times New Roman"/>
          <w:b w:val="0"/>
          <w:bCs w:val="0"/>
          <w:color w:val="auto"/>
          <w:sz w:val="32"/>
          <w:szCs w:val="32"/>
          <w:shd w:val="clear" w:color="auto" w:fill="FFFFFF"/>
          <w:lang w:eastAsia="zh-CN"/>
        </w:rPr>
        <w:t>以往年度交通项目资金支付</w:t>
      </w:r>
      <w:r>
        <w:rPr>
          <w:rFonts w:hint="default" w:ascii="Times New Roman" w:hAnsi="Times New Roman" w:eastAsia="方正仿宋_GBK" w:cs="Times New Roman"/>
          <w:b w:val="0"/>
          <w:bCs w:val="0"/>
          <w:color w:val="auto"/>
          <w:sz w:val="32"/>
          <w:szCs w:val="32"/>
          <w:shd w:val="clear" w:color="auto" w:fill="FFFFFF"/>
        </w:rPr>
        <w:t>。</w:t>
      </w:r>
    </w:p>
    <w:p w14:paraId="3F646F1A">
      <w:pPr>
        <w:keepNext w:val="0"/>
        <w:keepLines w:val="0"/>
        <w:pageBreakBefore w:val="0"/>
        <w:widowControl w:val="0"/>
        <w:shd w:val="clear"/>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9</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住房保障支出59.46</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3.47</w:t>
      </w:r>
      <w:r>
        <w:rPr>
          <w:rFonts w:hint="default" w:ascii="Times New Roman" w:hAnsi="Times New Roman" w:eastAsia="方正仿宋_GBK" w:cs="Times New Roman"/>
          <w:b w:val="0"/>
          <w:bCs w:val="0"/>
          <w:color w:val="auto"/>
          <w:sz w:val="32"/>
          <w:szCs w:val="32"/>
          <w:shd w:val="clear" w:color="auto" w:fill="FFFFFF"/>
        </w:rPr>
        <w:t>%，较年初预算数无增减。</w:t>
      </w:r>
    </w:p>
    <w:p w14:paraId="57DEE367">
      <w:pPr>
        <w:keepNext w:val="0"/>
        <w:keepLines w:val="0"/>
        <w:pageBreakBefore w:val="0"/>
        <w:widowControl w:val="0"/>
        <w:shd w:val="clear"/>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10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灾害防治及应急管理支出14.92</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0.87</w:t>
      </w:r>
      <w:r>
        <w:rPr>
          <w:rFonts w:hint="default" w:ascii="Times New Roman" w:hAnsi="Times New Roman" w:eastAsia="方正仿宋_GBK" w:cs="Times New Roman"/>
          <w:b w:val="0"/>
          <w:bCs w:val="0"/>
          <w:color w:val="auto"/>
          <w:sz w:val="32"/>
          <w:szCs w:val="32"/>
          <w:shd w:val="clear" w:color="auto" w:fill="FFFFFF"/>
        </w:rPr>
        <w:t>%，较年初预算数增加14.92万元，增长100.0%，主要原因是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用于防汛抗旱</w:t>
      </w:r>
      <w:r>
        <w:rPr>
          <w:rFonts w:hint="default" w:ascii="Times New Roman" w:hAnsi="Times New Roman" w:eastAsia="方正仿宋_GBK" w:cs="Times New Roman"/>
          <w:b w:val="0"/>
          <w:bCs w:val="0"/>
          <w:color w:val="auto"/>
          <w:sz w:val="32"/>
          <w:szCs w:val="32"/>
          <w:shd w:val="clear" w:color="auto" w:fill="FFFFFF"/>
        </w:rPr>
        <w:t>。</w:t>
      </w:r>
    </w:p>
    <w:p w14:paraId="0F037871">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55A0811E">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1157.82</w:t>
      </w:r>
      <w:r>
        <w:rPr>
          <w:rFonts w:hint="default" w:ascii="Times New Roman" w:hAnsi="Times New Roman" w:eastAsia="方正仿宋_GBK" w:cs="Times New Roman"/>
          <w:b w:val="0"/>
          <w:bCs w:val="0"/>
          <w:sz w:val="32"/>
          <w:szCs w:val="32"/>
          <w:shd w:val="clear" w:color="auto" w:fill="FFFFFF"/>
        </w:rPr>
        <w:t>万元。其中：人员经</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费</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1002.87</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万元，与2023年度相比，减少31.58万元，下降3.1%，主要原因是</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正常调动人员减少，相关经费减少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基本工资、五险一金等</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154.95</w:t>
      </w:r>
      <w:r>
        <w:rPr>
          <w:rFonts w:hint="default" w:ascii="Times New Roman" w:hAnsi="Times New Roman" w:eastAsia="方正仿宋_GBK" w:cs="Times New Roman"/>
          <w:b w:val="0"/>
          <w:bCs w:val="0"/>
          <w:sz w:val="32"/>
          <w:szCs w:val="32"/>
          <w:shd w:val="clear" w:color="auto" w:fill="FFFFFF"/>
        </w:rPr>
        <w:t>万元，与2023年度相比，减少99.36万元，下降39.1%，</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严格执行中央八项规定，精打细算资金支出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sz w:val="32"/>
          <w:szCs w:val="32"/>
          <w:shd w:val="clear" w:color="auto" w:fill="FFFFFF"/>
        </w:rPr>
        <w:t>公用经</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费用途主要包括</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机关基本运转和办公费</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33098521">
      <w:pPr>
        <w:pStyle w:val="9"/>
        <w:keepNext w:val="0"/>
        <w:keepLines w:val="0"/>
        <w:pageBreakBefore w:val="0"/>
        <w:widowControl w:val="0"/>
        <w:numPr>
          <w:ilvl w:val="0"/>
          <w:numId w:val="1"/>
        </w:numPr>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政府性基金预算收支决算情况说明</w:t>
      </w:r>
    </w:p>
    <w:p w14:paraId="5866DF32">
      <w:pPr>
        <w:pStyle w:val="9"/>
        <w:keepNext w:val="0"/>
        <w:keepLines w:val="0"/>
        <w:pageBreakBefore w:val="0"/>
        <w:widowControl w:val="0"/>
        <w:numPr>
          <w:ilvl w:val="0"/>
          <w:numId w:val="0"/>
        </w:numPr>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楷体_GBK" w:cs="Times New Roman"/>
          <w:b w:val="0"/>
          <w:bCs w:val="0"/>
          <w:sz w:val="32"/>
          <w:szCs w:val="32"/>
          <w:shd w:val="clear" w:color="auto" w:fill="FFFFFF"/>
          <w:lang w:val="en-US" w:eastAsia="zh-CN"/>
        </w:rPr>
        <w:t xml:space="preserve"> </w:t>
      </w:r>
      <w:r>
        <w:rPr>
          <w:rFonts w:hint="default" w:ascii="Times New Roman" w:hAnsi="Times New Roman" w:eastAsia="方正仿宋_GBK" w:cs="Times New Roman"/>
          <w:b w:val="0"/>
          <w:bCs w:val="0"/>
          <w:sz w:val="32"/>
          <w:szCs w:val="32"/>
          <w:shd w:val="clear" w:color="auto" w:fill="FFFFFF"/>
          <w:lang w:val="en-US" w:eastAsia="zh-CN"/>
        </w:rPr>
        <w:t>本部门2024年度无政府性基金预算财政拨款收支。</w:t>
      </w:r>
    </w:p>
    <w:p w14:paraId="18A9D05A">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5459AC33">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val="en-US" w:eastAsia="zh-CN"/>
        </w:rPr>
        <w:t xml:space="preserve"> 本部门2024年度无国有资本经营预算财政拨款支出。</w:t>
      </w:r>
    </w:p>
    <w:p w14:paraId="658E3F7F">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三、</w:t>
      </w:r>
      <w:r>
        <w:rPr>
          <w:rStyle w:val="8"/>
          <w:rFonts w:hint="default" w:ascii="Times New Roman" w:hAnsi="Times New Roman" w:eastAsia="方正黑体_GBK" w:cs="Times New Roman"/>
          <w:b w:val="0"/>
          <w:bCs w:val="0"/>
          <w:sz w:val="32"/>
          <w:szCs w:val="32"/>
          <w:shd w:val="clear" w:color="auto" w:fill="FFFFFF"/>
          <w:lang w:eastAsia="zh-CN"/>
        </w:rPr>
        <w:t>财政拨款</w:t>
      </w:r>
      <w:r>
        <w:rPr>
          <w:rStyle w:val="8"/>
          <w:rFonts w:hint="default" w:ascii="Times New Roman" w:hAnsi="Times New Roman" w:eastAsia="方正黑体_GBK" w:cs="Times New Roman"/>
          <w:b w:val="0"/>
          <w:bCs w:val="0"/>
          <w:sz w:val="32"/>
          <w:szCs w:val="32"/>
          <w:shd w:val="clear" w:color="auto" w:fill="FFFFFF"/>
        </w:rPr>
        <w:t>“三公”经费情况说明</w:t>
      </w:r>
    </w:p>
    <w:p w14:paraId="1804442D">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 xml:space="preserve"> （一）“三公”经费支出总体情况说明</w:t>
      </w:r>
    </w:p>
    <w:p w14:paraId="0CBCC167">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4.84</w:t>
      </w:r>
      <w:r>
        <w:rPr>
          <w:rFonts w:hint="default" w:ascii="Times New Roman" w:hAnsi="Times New Roman" w:eastAsia="方正仿宋_GBK" w:cs="Times New Roman"/>
          <w:b w:val="0"/>
          <w:bCs w:val="0"/>
          <w:sz w:val="32"/>
          <w:szCs w:val="32"/>
          <w:shd w:val="clear" w:color="auto" w:fill="FFFFFF"/>
        </w:rPr>
        <w:t>万元，较年初预算数减少4.96万元，下降50.6%，主要原因是</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规范管理使用公务车，做到公务车使用精打细算</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sz w:val="32"/>
          <w:szCs w:val="32"/>
          <w:shd w:val="clear" w:color="auto" w:fill="FFFFFF"/>
        </w:rPr>
        <w:t>较上年支出数增加1.45万元，增长42.8%，主要原因是</w:t>
      </w:r>
      <w:r>
        <w:rPr>
          <w:rFonts w:hint="default" w:ascii="Times New Roman" w:hAnsi="Times New Roman" w:eastAsia="方正仿宋_GBK" w:cs="Times New Roman"/>
          <w:b w:val="0"/>
          <w:bCs w:val="0"/>
          <w:sz w:val="32"/>
          <w:szCs w:val="32"/>
          <w:shd w:val="clear" w:color="auto" w:fill="FFFFFF"/>
          <w:lang w:eastAsia="zh-CN"/>
        </w:rPr>
        <w:t>本年度公务车年久失修，维修保养费增</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多</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479759D8">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2354C53B">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与2023年度相比，无增减</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622A4255">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公务车购置费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万元，费用支出较年初预算数无增减。与2023年度相比，无增减。</w:t>
      </w:r>
    </w:p>
    <w:p w14:paraId="53818ABC">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4.84</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车辆维修保养、加油、运行等</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sz w:val="32"/>
          <w:szCs w:val="32"/>
          <w:shd w:val="clear" w:color="auto" w:fill="FFFFFF"/>
        </w:rPr>
        <w:t>费用支出较年初预算数减少4.96万元，下降50.6%，主要原因是</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规范管理使用公务车，做到公务车使用精打细算</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sz w:val="32"/>
          <w:szCs w:val="32"/>
          <w:shd w:val="clear" w:color="auto" w:fill="FFFFFF"/>
        </w:rPr>
        <w:t>较上年支出数增加1.45万元，增长42.8%，主要原因是</w:t>
      </w:r>
      <w:r>
        <w:rPr>
          <w:rFonts w:hint="default" w:ascii="Times New Roman" w:hAnsi="Times New Roman" w:eastAsia="方正仿宋_GBK" w:cs="Times New Roman"/>
          <w:b w:val="0"/>
          <w:bCs w:val="0"/>
          <w:sz w:val="32"/>
          <w:szCs w:val="32"/>
          <w:shd w:val="clear" w:color="auto" w:fill="FFFFFF"/>
          <w:lang w:eastAsia="zh-CN"/>
        </w:rPr>
        <w:t>本年度公务车年久失修，维</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修保养费增多</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31EA34AB">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44228E56">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68AB17DA">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2.42</w:t>
      </w:r>
      <w:r>
        <w:rPr>
          <w:rFonts w:hint="default" w:ascii="Times New Roman" w:hAnsi="Times New Roman" w:eastAsia="方正仿宋_GBK" w:cs="Times New Roman"/>
          <w:b w:val="0"/>
          <w:bCs w:val="0"/>
          <w:sz w:val="32"/>
          <w:szCs w:val="32"/>
          <w:shd w:val="clear" w:color="auto" w:fill="FFFFFF"/>
        </w:rPr>
        <w:t>万元。</w:t>
      </w:r>
    </w:p>
    <w:p w14:paraId="1A3F1C3A">
      <w:pPr>
        <w:pStyle w:val="5"/>
        <w:keepNext w:val="0"/>
        <w:keepLines w:val="0"/>
        <w:pageBreakBefore w:val="0"/>
        <w:widowControl w:val="0"/>
        <w:numPr>
          <w:ilvl w:val="0"/>
          <w:numId w:val="2"/>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其他需要说明的事项</w:t>
      </w:r>
    </w:p>
    <w:p w14:paraId="14F87C3F">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（一）财政拨款会议费和培训费情况说明</w:t>
      </w:r>
    </w:p>
    <w:p w14:paraId="5316E266">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2.35</w:t>
      </w:r>
      <w:r>
        <w:rPr>
          <w:rFonts w:hint="default" w:ascii="Times New Roman" w:hAnsi="Times New Roman" w:eastAsia="方正仿宋_GBK" w:cs="Times New Roman"/>
          <w:b w:val="0"/>
          <w:bCs w:val="0"/>
          <w:sz w:val="32"/>
          <w:szCs w:val="32"/>
          <w:shd w:val="clear" w:color="auto" w:fill="FFFFFF"/>
        </w:rPr>
        <w:t>万元，与2023年度相比，减少0.89万元，下降27.5%，主要原因是</w:t>
      </w:r>
      <w:r>
        <w:rPr>
          <w:rFonts w:hint="default" w:ascii="Times New Roman" w:hAnsi="Times New Roman" w:eastAsia="方正仿宋_GBK" w:cs="Times New Roman"/>
          <w:b w:val="0"/>
          <w:bCs w:val="0"/>
          <w:sz w:val="32"/>
          <w:szCs w:val="32"/>
          <w:shd w:val="clear" w:color="auto" w:fill="FFFFFF"/>
          <w:lang w:eastAsia="zh-CN"/>
        </w:rPr>
        <w:t>培训活动相应减少</w:t>
      </w:r>
      <w:r>
        <w:rPr>
          <w:rFonts w:hint="default" w:ascii="Times New Roman" w:hAnsi="Times New Roman" w:eastAsia="方正仿宋_GBK" w:cs="Times New Roman"/>
          <w:b w:val="0"/>
          <w:bCs w:val="0"/>
          <w:sz w:val="32"/>
          <w:szCs w:val="32"/>
          <w:shd w:val="clear" w:color="auto" w:fill="FFFFFF"/>
        </w:rPr>
        <w:t>。</w:t>
      </w:r>
    </w:p>
    <w:p w14:paraId="4BCC5EDE">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39FD842A">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度本部门机关运行经费支出</w:t>
      </w:r>
      <w:r>
        <w:rPr>
          <w:rFonts w:hint="default" w:ascii="Times New Roman" w:hAnsi="Times New Roman" w:eastAsia="方正仿宋_GBK" w:cs="Times New Roman"/>
          <w:b w:val="0"/>
          <w:bCs w:val="0"/>
          <w:sz w:val="32"/>
          <w:szCs w:val="32"/>
        </w:rPr>
        <w:t>73.89</w:t>
      </w:r>
      <w:r>
        <w:rPr>
          <w:rFonts w:hint="default" w:ascii="Times New Roman" w:hAnsi="Times New Roman" w:eastAsia="方正仿宋_GBK" w:cs="Times New Roman"/>
          <w:b w:val="0"/>
          <w:bCs w:val="0"/>
          <w:sz w:val="32"/>
          <w:szCs w:val="32"/>
          <w:shd w:val="clear" w:color="auto" w:fill="FFFFFF"/>
        </w:rPr>
        <w:t>万元，机关运行经费主要用于开支</w:t>
      </w:r>
      <w:r>
        <w:rPr>
          <w:rFonts w:hint="default" w:ascii="Times New Roman" w:hAnsi="Times New Roman" w:eastAsia="方正仿宋_GBK" w:cs="Times New Roman"/>
          <w:b w:val="0"/>
          <w:bCs w:val="0"/>
          <w:sz w:val="32"/>
          <w:szCs w:val="32"/>
          <w:shd w:val="clear" w:color="auto" w:fill="FFFFFF"/>
        </w:rPr>
        <w:t>办公费、水费、电费、邮电费、维修（护）费、委托业务费、其他商品服务费</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机关运行经费较上年支出数减少20.09万元，下降21.4%，主要原因是</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严格执行了中央八项规定</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71A9C858">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130AF7B4">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12月31日，本部门共有车辆</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531C4507">
      <w:pPr>
        <w:pStyle w:val="9"/>
        <w:keepNext w:val="0"/>
        <w:keepLines w:val="0"/>
        <w:pageBreakBefore w:val="0"/>
        <w:widowControl w:val="0"/>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7D78BA6A">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度本部门政府采购支出总额</w:t>
      </w:r>
      <w:r>
        <w:rPr>
          <w:rFonts w:hint="default" w:ascii="Times New Roman" w:hAnsi="Times New Roman" w:eastAsia="方正仿宋_GBK" w:cs="Times New Roman"/>
          <w:b w:val="0"/>
          <w:bCs w:val="0"/>
          <w:sz w:val="32"/>
          <w:szCs w:val="32"/>
        </w:rPr>
        <w:t>2642.05</w:t>
      </w:r>
      <w:r>
        <w:rPr>
          <w:rFonts w:hint="default" w:ascii="Times New Roman" w:hAnsi="Times New Roman" w:eastAsia="方正仿宋_GBK" w:cs="Times New Roman"/>
          <w:b w:val="0"/>
          <w:bCs w:val="0"/>
          <w:sz w:val="32"/>
          <w:szCs w:val="32"/>
          <w:shd w:val="clear" w:color="auto" w:fill="FFFFFF"/>
        </w:rPr>
        <w:t>万元，其中：政府采购货物支出</w:t>
      </w:r>
      <w:r>
        <w:rPr>
          <w:rFonts w:hint="default" w:ascii="Times New Roman" w:hAnsi="Times New Roman" w:eastAsia="方正仿宋_GBK" w:cs="Times New Roman"/>
          <w:b w:val="0"/>
          <w:bCs w:val="0"/>
          <w:sz w:val="32"/>
          <w:szCs w:val="32"/>
        </w:rPr>
        <w:t>1.43</w:t>
      </w:r>
      <w:r>
        <w:rPr>
          <w:rFonts w:hint="default" w:ascii="Times New Roman" w:hAnsi="Times New Roman" w:eastAsia="方正仿宋_GBK" w:cs="Times New Roman"/>
          <w:b w:val="0"/>
          <w:bCs w:val="0"/>
          <w:sz w:val="32"/>
          <w:szCs w:val="32"/>
          <w:shd w:val="clear" w:color="auto" w:fill="FFFFFF"/>
        </w:rPr>
        <w:t>万元、政府采购工程支出</w:t>
      </w:r>
      <w:r>
        <w:rPr>
          <w:rFonts w:hint="default" w:ascii="Times New Roman" w:hAnsi="Times New Roman" w:eastAsia="方正仿宋_GBK" w:cs="Times New Roman"/>
          <w:b w:val="0"/>
          <w:bCs w:val="0"/>
          <w:sz w:val="32"/>
          <w:szCs w:val="32"/>
        </w:rPr>
        <w:t>2640.62</w:t>
      </w:r>
      <w:r>
        <w:rPr>
          <w:rFonts w:hint="default" w:ascii="Times New Roman" w:hAnsi="Times New Roman" w:eastAsia="方正仿宋_GBK" w:cs="Times New Roman"/>
          <w:b w:val="0"/>
          <w:bCs w:val="0"/>
          <w:sz w:val="32"/>
          <w:szCs w:val="32"/>
          <w:shd w:val="clear" w:color="auto" w:fill="FFFFFF"/>
        </w:rPr>
        <w:t>万元、政府采购服务支出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2642.05万</w:t>
      </w:r>
      <w:r>
        <w:rPr>
          <w:rFonts w:hint="default" w:ascii="Times New Roman" w:hAnsi="Times New Roman" w:eastAsia="方正仿宋_GBK" w:cs="Times New Roman"/>
          <w:b w:val="0"/>
          <w:bCs w:val="0"/>
          <w:sz w:val="32"/>
          <w:szCs w:val="32"/>
          <w:shd w:val="clear" w:color="auto" w:fill="FFFFFF"/>
        </w:rPr>
        <w:t>元，占政府采购支出总额的</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%，其中：授予小微企业合同金额</w:t>
      </w:r>
      <w:r>
        <w:rPr>
          <w:rFonts w:hint="default" w:ascii="Times New Roman" w:hAnsi="Times New Roman" w:eastAsia="方正仿宋_GBK" w:cs="Times New Roman"/>
          <w:b w:val="0"/>
          <w:bCs w:val="0"/>
          <w:sz w:val="32"/>
          <w:szCs w:val="32"/>
        </w:rPr>
        <w:t>2642.05</w:t>
      </w:r>
      <w:r>
        <w:rPr>
          <w:rFonts w:hint="default" w:ascii="Times New Roman" w:hAnsi="Times New Roman" w:eastAsia="方正仿宋_GBK" w:cs="Times New Roman"/>
          <w:b w:val="0"/>
          <w:bCs w:val="0"/>
          <w:sz w:val="32"/>
          <w:szCs w:val="32"/>
          <w:shd w:val="clear" w:color="auto" w:fill="FFFFFF"/>
        </w:rPr>
        <w:t>万元，占政府采购支出总额的</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 xml:space="preserve"> %。主要用于采购</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铜梁区双山镇高标准农田建设工程项目</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1AA8586E">
      <w:pPr>
        <w:pStyle w:val="10"/>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lang w:val="en-US" w:eastAsia="zh-CN" w:bidi="ar-SA"/>
        </w:rPr>
      </w:pPr>
      <w:r>
        <w:rPr>
          <w:rStyle w:val="8"/>
          <w:rFonts w:hint="default" w:ascii="Times New Roman" w:hAnsi="Times New Roman" w:eastAsia="方正黑体_GBK" w:cs="Times New Roman"/>
          <w:b w:val="0"/>
          <w:bCs w:val="0"/>
          <w:sz w:val="32"/>
          <w:szCs w:val="32"/>
          <w:shd w:val="clear" w:color="auto" w:fill="FFFFFF"/>
          <w:lang w:val="en-US" w:eastAsia="zh-CN" w:bidi="ar-SA"/>
        </w:rPr>
        <w:t>五、2024年度预算绩效管理情况说明</w:t>
      </w:r>
    </w:p>
    <w:p w14:paraId="4FCA4645">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（一）预算绩效管理工作开展情况</w:t>
      </w:r>
    </w:p>
    <w:p w14:paraId="4AC5E97A">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根据预算绩效管理要求，我部门对部门整体和</w:t>
      </w:r>
      <w:r>
        <w:rPr>
          <w:rFonts w:hint="default" w:ascii="Times New Roman" w:hAnsi="Times New Roman" w:eastAsia="方正仿宋_GBK" w:cs="Times New Roman"/>
          <w:b w:val="0"/>
          <w:bCs w:val="0"/>
          <w:kern w:val="0"/>
          <w:sz w:val="32"/>
          <w:szCs w:val="32"/>
          <w:shd w:val="clear" w:fill="FFFFFF"/>
          <w:lang w:val="en-US" w:eastAsia="zh-CN"/>
        </w:rPr>
        <w:t>28</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28</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562.25</w:t>
      </w:r>
      <w:r>
        <w:rPr>
          <w:rFonts w:hint="default" w:ascii="Times New Roman" w:hAnsi="Times New Roman" w:eastAsia="方正仿宋_GBK" w:cs="Times New Roman"/>
          <w:b w:val="0"/>
          <w:bCs w:val="0"/>
          <w:kern w:val="0"/>
          <w:sz w:val="32"/>
          <w:szCs w:val="32"/>
          <w:shd w:val="clear" w:fill="FFFFFF"/>
        </w:rPr>
        <w:t>万元。</w:t>
      </w:r>
    </w:p>
    <w:p w14:paraId="717E4007">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（二）绩效自评结果</w:t>
      </w:r>
    </w:p>
    <w:p w14:paraId="485607DC">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65D98092">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（1）部门整体绩效自评表。</w:t>
      </w:r>
    </w:p>
    <w:p w14:paraId="238C7BBB">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14:paraId="15C4225F">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（2）项目绩效自评表。</w:t>
      </w:r>
    </w:p>
    <w:p w14:paraId="5B98B88A">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详见各二级预算单位决算公开报告。</w:t>
      </w:r>
    </w:p>
    <w:p w14:paraId="2A011103">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2.绩效自评报告或案例。</w:t>
      </w:r>
    </w:p>
    <w:p w14:paraId="7427675C">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详见各二级预算单位决算公开报告。</w:t>
      </w:r>
    </w:p>
    <w:p w14:paraId="6100FEDD">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142596BC">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我部门对</w:t>
      </w:r>
      <w:r>
        <w:rPr>
          <w:rFonts w:hint="default" w:ascii="Times New Roman" w:hAnsi="Times New Roman" w:eastAsia="方正仿宋_GBK" w:cs="Times New Roman"/>
          <w:b w:val="0"/>
          <w:bCs w:val="0"/>
          <w:kern w:val="0"/>
          <w:sz w:val="32"/>
          <w:szCs w:val="32"/>
          <w:shd w:val="clear" w:fill="FFFFFF"/>
          <w:lang w:val="en-US" w:eastAsia="zh-CN"/>
        </w:rPr>
        <w:t>28</w:t>
      </w:r>
      <w:r>
        <w:rPr>
          <w:rFonts w:hint="default" w:ascii="Times New Roman" w:hAnsi="Times New Roman" w:eastAsia="方正仿宋_GBK" w:cs="Times New Roman"/>
          <w:b w:val="0"/>
          <w:bCs w:val="0"/>
          <w:kern w:val="0"/>
          <w:sz w:val="32"/>
          <w:szCs w:val="32"/>
          <w:shd w:val="clear" w:fill="FFFFFF"/>
        </w:rPr>
        <w:t>个项目进行绩效自评，其中</w:t>
      </w:r>
      <w:r>
        <w:rPr>
          <w:rFonts w:hint="default" w:ascii="Times New Roman" w:hAnsi="Times New Roman" w:eastAsia="方正仿宋_GBK" w:cs="Times New Roman"/>
          <w:b w:val="0"/>
          <w:bCs w:val="0"/>
          <w:kern w:val="0"/>
          <w:sz w:val="32"/>
          <w:szCs w:val="32"/>
          <w:shd w:val="clear" w:fill="FFFFFF"/>
          <w:lang w:val="en-US" w:eastAsia="zh-CN"/>
        </w:rPr>
        <w:t>28</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6647F94F">
      <w:pPr>
        <w:pStyle w:val="12"/>
        <w:keepNext w:val="0"/>
        <w:keepLines w:val="0"/>
        <w:pageBreakBefore w:val="0"/>
        <w:widowControl/>
        <w:shd w:val="clear"/>
        <w:kinsoku/>
        <w:wordWrap/>
        <w:overflowPunct/>
        <w:topLinePunct w:val="0"/>
        <w:autoSpaceDE w:val="0"/>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方正楷体_GBK" w:cs="Times New Roman"/>
          <w:b w:val="0"/>
          <w:bCs w:val="0"/>
          <w:kern w:val="0"/>
          <w:sz w:val="32"/>
          <w:szCs w:val="32"/>
          <w:shd w:val="clear" w:fill="FFFFFF"/>
          <w:lang w:val="en-US" w:eastAsia="zh-CN" w:bidi="ar"/>
        </w:rPr>
      </w:pPr>
      <w:r>
        <w:rPr>
          <w:rFonts w:hint="default" w:ascii="Times New Roman" w:hAnsi="Times New Roman" w:eastAsia="方正楷体_GBK" w:cs="Times New Roman"/>
          <w:b w:val="0"/>
          <w:bCs w:val="0"/>
          <w:kern w:val="0"/>
          <w:sz w:val="32"/>
          <w:szCs w:val="32"/>
          <w:shd w:val="clear" w:fill="FFFFFF"/>
          <w:lang w:val="en-US" w:eastAsia="zh-CN" w:bidi="ar"/>
        </w:rPr>
        <w:t>（三）财政重点绩效评价情况</w:t>
      </w:r>
    </w:p>
    <w:p w14:paraId="1E3345DD">
      <w:pPr>
        <w:pStyle w:val="10"/>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1F155844">
      <w:pPr>
        <w:pStyle w:val="10"/>
        <w:keepNext w:val="0"/>
        <w:keepLines w:val="0"/>
        <w:pageBreakBefore w:val="0"/>
        <w:widowControl/>
        <w:numPr>
          <w:ilvl w:val="0"/>
          <w:numId w:val="0"/>
        </w:numPr>
        <w:shd w:val="clear"/>
        <w:kinsoku/>
        <w:wordWrap/>
        <w:overflowPunct/>
        <w:topLinePunct w:val="0"/>
        <w:autoSpaceDE w:val="0"/>
        <w:autoSpaceDN/>
        <w:bidi w:val="0"/>
        <w:adjustRightInd/>
        <w:snapToGrid/>
        <w:spacing w:before="0" w:beforeAutospacing="0" w:after="0" w:afterAutospacing="0" w:line="560" w:lineRule="exact"/>
        <w:ind w:leftChars="0" w:firstLine="640" w:firstLineChars="200"/>
        <w:textAlignment w:val="auto"/>
        <w:rPr>
          <w:rStyle w:val="8"/>
          <w:rFonts w:hint="default" w:ascii="Times New Roman" w:hAnsi="Times New Roman" w:eastAsia="方正黑体_GBK" w:cs="Times New Roman"/>
          <w:b w:val="0"/>
          <w:bCs w:val="0"/>
          <w:sz w:val="32"/>
          <w:szCs w:val="32"/>
          <w:shd w:val="clear" w:color="auto" w:fill="FFFFFF"/>
          <w:lang w:val="en-US" w:eastAsia="zh-CN" w:bidi="ar-SA"/>
        </w:rPr>
      </w:pPr>
      <w:r>
        <w:rPr>
          <w:rStyle w:val="8"/>
          <w:rFonts w:hint="default" w:ascii="Times New Roman" w:hAnsi="Times New Roman" w:eastAsia="方正黑体_GBK" w:cs="Times New Roman"/>
          <w:b w:val="0"/>
          <w:bCs w:val="0"/>
          <w:sz w:val="32"/>
          <w:szCs w:val="32"/>
          <w:shd w:val="clear" w:color="auto" w:fill="FFFFFF"/>
          <w:lang w:val="en-US" w:eastAsia="zh-CN" w:bidi="ar-SA"/>
        </w:rPr>
        <w:t>六、专业名词解释</w:t>
      </w:r>
    </w:p>
    <w:p w14:paraId="4B9DAF5E">
      <w:pPr>
        <w:pStyle w:val="10"/>
        <w:keepNext w:val="0"/>
        <w:keepLines w:val="0"/>
        <w:pageBreakBefore w:val="0"/>
        <w:widowControl/>
        <w:numPr>
          <w:ilvl w:val="0"/>
          <w:numId w:val="0"/>
        </w:numPr>
        <w:shd w:val="clear"/>
        <w:kinsoku/>
        <w:wordWrap/>
        <w:overflowPunct/>
        <w:topLinePunct w:val="0"/>
        <w:autoSpaceDE w:val="0"/>
        <w:autoSpaceDN/>
        <w:bidi w:val="0"/>
        <w:adjustRightInd/>
        <w:snapToGrid/>
        <w:spacing w:before="0" w:beforeAutospacing="0" w:after="0" w:afterAutospacing="0" w:line="560"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297804A5">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4392E798">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7C0005CE">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6B8C82">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EA0C346">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78C30046">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37A4AF2A">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4027CFB7">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BF37512">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5D29468D">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4FF9DE13">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2550A9">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C4E818">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37A73884">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625F08DC">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7237918C">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3673224">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七、决算公开联系方式及信息反馈渠道</w:t>
      </w:r>
    </w:p>
    <w:p w14:paraId="0F8AF603">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p>
    <w:p w14:paraId="57E14E1D">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lang w:eastAsia="zh-CN"/>
        </w:rPr>
        <w:t>联系人：汪子钦</w:t>
      </w:r>
      <w:r>
        <w:rPr>
          <w:rFonts w:hint="default" w:ascii="Times New Roman" w:hAnsi="Times New Roman" w:eastAsia="方正仿宋_GBK" w:cs="Times New Roman"/>
          <w:b w:val="0"/>
          <w:bCs w:val="0"/>
          <w:color w:val="auto"/>
          <w:kern w:val="0"/>
          <w:sz w:val="32"/>
          <w:szCs w:val="32"/>
          <w:shd w:val="clear" w:fill="FFFFFF"/>
          <w:lang w:val="en-US" w:eastAsia="zh-CN"/>
        </w:rPr>
        <w:t xml:space="preserve">  </w:t>
      </w:r>
      <w:r>
        <w:rPr>
          <w:rFonts w:hint="default" w:ascii="Times New Roman" w:hAnsi="Times New Roman" w:eastAsia="方正仿宋_GBK" w:cs="Times New Roman"/>
          <w:b w:val="0"/>
          <w:bCs w:val="0"/>
          <w:color w:val="auto"/>
          <w:kern w:val="0"/>
          <w:sz w:val="32"/>
          <w:szCs w:val="32"/>
          <w:shd w:val="clear" w:fill="FFFFFF"/>
          <w:lang w:eastAsia="zh-CN"/>
        </w:rPr>
        <w:t>联系方式</w:t>
      </w:r>
      <w:r>
        <w:rPr>
          <w:rFonts w:hint="default" w:ascii="Times New Roman" w:hAnsi="Times New Roman" w:eastAsia="方正仿宋_GBK" w:cs="Times New Roman"/>
          <w:b w:val="0"/>
          <w:bCs w:val="0"/>
          <w:color w:val="auto"/>
          <w:kern w:val="0"/>
          <w:sz w:val="32"/>
          <w:szCs w:val="32"/>
          <w:shd w:val="clear" w:fill="FFFFFF"/>
        </w:rPr>
        <w:t xml:space="preserve"> 023-</w:t>
      </w:r>
      <w:r>
        <w:rPr>
          <w:rFonts w:hint="default" w:ascii="Times New Roman" w:hAnsi="Times New Roman" w:eastAsia="方正仿宋_GBK" w:cs="Times New Roman"/>
          <w:b w:val="0"/>
          <w:bCs w:val="0"/>
          <w:color w:val="auto"/>
          <w:kern w:val="0"/>
          <w:sz w:val="32"/>
          <w:szCs w:val="32"/>
          <w:shd w:val="clear" w:fill="FFFFFF"/>
          <w:lang w:val="en-US" w:eastAsia="zh-CN"/>
        </w:rPr>
        <w:t>45218304</w:t>
      </w:r>
    </w:p>
    <w:sectPr>
      <w:headerReference r:id="rId3" w:type="default"/>
      <w:footerReference r:id="rId4" w:type="default"/>
      <w:pgSz w:w="11850" w:h="16783"/>
      <w:pgMar w:top="1440" w:right="1803" w:bottom="1984" w:left="1803" w:header="0" w:footer="283" w:gutter="0"/>
      <w:pgBorders>
        <w:top w:val="none" w:sz="0" w:space="0"/>
        <w:left w:val="none" w:sz="0" w:space="0"/>
        <w:bottom w:val="none" w:sz="0" w:space="0"/>
        <w:right w:val="none" w:sz="0" w:space="0"/>
      </w:pgBorders>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008E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3CA7C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A3CA7C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9FE7B9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9FE7B9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B8D4B">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4332E"/>
    <w:multiLevelType w:val="singleLevel"/>
    <w:tmpl w:val="D9E4332E"/>
    <w:lvl w:ilvl="0" w:tentative="0">
      <w:start w:val="5"/>
      <w:numFmt w:val="chineseCounting"/>
      <w:suff w:val="nothing"/>
      <w:lvlText w:val="（%1）"/>
      <w:lvlJc w:val="left"/>
      <w:rPr>
        <w:rFonts w:hint="eastAsia"/>
      </w:rPr>
    </w:lvl>
  </w:abstractNum>
  <w:abstractNum w:abstractNumId="1">
    <w:nsid w:val="FD99640A"/>
    <w:multiLevelType w:val="singleLevel"/>
    <w:tmpl w:val="FD99640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236A6E"/>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5C543F3"/>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B351E2"/>
    <w:rsid w:val="1FCD26AF"/>
    <w:rsid w:val="20642787"/>
    <w:rsid w:val="20C83310"/>
    <w:rsid w:val="20EC77A3"/>
    <w:rsid w:val="21556F04"/>
    <w:rsid w:val="216838F8"/>
    <w:rsid w:val="22403BD3"/>
    <w:rsid w:val="24B92327"/>
    <w:rsid w:val="2533755C"/>
    <w:rsid w:val="26396DF4"/>
    <w:rsid w:val="266B763B"/>
    <w:rsid w:val="26D060BC"/>
    <w:rsid w:val="27167136"/>
    <w:rsid w:val="27B23302"/>
    <w:rsid w:val="27B81A6E"/>
    <w:rsid w:val="27D424D7"/>
    <w:rsid w:val="285722C3"/>
    <w:rsid w:val="28DC1FF8"/>
    <w:rsid w:val="29310A5F"/>
    <w:rsid w:val="29C37A35"/>
    <w:rsid w:val="2A076083"/>
    <w:rsid w:val="2A306CA5"/>
    <w:rsid w:val="2A73162E"/>
    <w:rsid w:val="2AFA2E94"/>
    <w:rsid w:val="2B167953"/>
    <w:rsid w:val="2B200583"/>
    <w:rsid w:val="2B8209DE"/>
    <w:rsid w:val="2BC66C5F"/>
    <w:rsid w:val="2C6762A3"/>
    <w:rsid w:val="2D5F4C37"/>
    <w:rsid w:val="2E1005E0"/>
    <w:rsid w:val="2FE029D7"/>
    <w:rsid w:val="2FF06E00"/>
    <w:rsid w:val="315F0B22"/>
    <w:rsid w:val="31BE24D6"/>
    <w:rsid w:val="31D84415"/>
    <w:rsid w:val="32285F6F"/>
    <w:rsid w:val="32770556"/>
    <w:rsid w:val="329C0913"/>
    <w:rsid w:val="32E6718E"/>
    <w:rsid w:val="3337290D"/>
    <w:rsid w:val="352930DB"/>
    <w:rsid w:val="35573069"/>
    <w:rsid w:val="358C217E"/>
    <w:rsid w:val="359E7284"/>
    <w:rsid w:val="359F188C"/>
    <w:rsid w:val="36394D2B"/>
    <w:rsid w:val="36C9128A"/>
    <w:rsid w:val="37841E99"/>
    <w:rsid w:val="379C594F"/>
    <w:rsid w:val="37BA6DB4"/>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005109"/>
    <w:rsid w:val="426C1EA8"/>
    <w:rsid w:val="42E86A87"/>
    <w:rsid w:val="43136432"/>
    <w:rsid w:val="443A3B12"/>
    <w:rsid w:val="44487B36"/>
    <w:rsid w:val="44EF6BE8"/>
    <w:rsid w:val="45087A9B"/>
    <w:rsid w:val="45A30364"/>
    <w:rsid w:val="465B470D"/>
    <w:rsid w:val="469D6AD4"/>
    <w:rsid w:val="47674801"/>
    <w:rsid w:val="48225EF7"/>
    <w:rsid w:val="48A36D47"/>
    <w:rsid w:val="495C4A24"/>
    <w:rsid w:val="49A21DF3"/>
    <w:rsid w:val="49C811E4"/>
    <w:rsid w:val="4A216E30"/>
    <w:rsid w:val="4AA64879"/>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BA177F3"/>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8D2326"/>
    <w:rsid w:val="66EE5541"/>
    <w:rsid w:val="67086152"/>
    <w:rsid w:val="67490A4A"/>
    <w:rsid w:val="687E45FE"/>
    <w:rsid w:val="692172FD"/>
    <w:rsid w:val="6A3829EE"/>
    <w:rsid w:val="6A924CB7"/>
    <w:rsid w:val="6AE0292E"/>
    <w:rsid w:val="6B474EF5"/>
    <w:rsid w:val="6BC27679"/>
    <w:rsid w:val="6BC54EFE"/>
    <w:rsid w:val="6C560CAE"/>
    <w:rsid w:val="6CA20030"/>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3110D3"/>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5080</Words>
  <Characters>5724</Characters>
  <Lines>161</Lines>
  <Paragraphs>45</Paragraphs>
  <TotalTime>161</TotalTime>
  <ScaleCrop>false</ScaleCrop>
  <LinksUpToDate>false</LinksUpToDate>
  <CharactersWithSpaces>5733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阿恋</cp:lastModifiedBy>
  <dcterms:modified xsi:type="dcterms:W3CDTF">2025-10-29T07:41:09Z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eyJoZGlkIjoiNThiODAwNDIyNDQwMGRmZTJkMzZlYzM2NGU3ZjcwYzYiLCJ1c2VySWQiOiIyNDQ3NzkwNTYifQ==</vt:lpwstr>
  </property>
</Properties>
</file>