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CC4C">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重庆市铜梁区双山镇文化服务中心</w:t>
      </w:r>
    </w:p>
    <w:p w14:paraId="161F795E">
      <w:pPr>
        <w:pStyle w:val="5"/>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7774401D">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一、</w:t>
      </w:r>
      <w:r>
        <w:rPr>
          <w:rStyle w:val="8"/>
          <w:rFonts w:hint="eastAsia" w:ascii="黑体" w:hAnsi="黑体" w:eastAsia="方正黑体_GBK" w:cs="黑体"/>
          <w:b w:val="0"/>
          <w:bCs/>
          <w:sz w:val="32"/>
          <w:szCs w:val="32"/>
          <w:shd w:val="clear" w:color="auto" w:fill="FFFFFF"/>
          <w:lang w:eastAsia="zh-CN"/>
        </w:rPr>
        <w:t>单位</w:t>
      </w:r>
      <w:r>
        <w:rPr>
          <w:rStyle w:val="8"/>
          <w:rFonts w:ascii="黑体" w:hAnsi="黑体" w:eastAsia="方正黑体_GBK" w:cs="黑体"/>
          <w:b w:val="0"/>
          <w:bCs/>
          <w:sz w:val="32"/>
          <w:szCs w:val="32"/>
          <w:shd w:val="clear" w:color="auto" w:fill="FFFFFF"/>
        </w:rPr>
        <w:t>基本情况</w:t>
      </w:r>
    </w:p>
    <w:p w14:paraId="3C2CCDE1">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689A2D89">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负责文化娱乐、文化宣传、文化推广、文化遗产、文物保护、电影、广播电视、体育、科技等文化方面的事务性服务工作。</w:t>
      </w:r>
    </w:p>
    <w:p w14:paraId="5A631574">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rPr>
      </w:pP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lang w:val="en-US" w:eastAsia="zh-CN"/>
        </w:rPr>
        <w:t>二</w:t>
      </w: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lang w:val="en-US" w:eastAsia="zh-CN"/>
        </w:rPr>
        <w:t>机构设置</w:t>
      </w:r>
    </w:p>
    <w:p w14:paraId="32A40BD3">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hint="default" w:ascii="方正仿宋_GBK" w:hAnsi="方正仿宋_GBK" w:eastAsia="方正仿宋_GBK" w:cs="方正仿宋_GBK"/>
          <w:b w:val="0"/>
          <w:bCs/>
          <w:color w:val="auto"/>
          <w:sz w:val="32"/>
          <w:szCs w:val="32"/>
          <w:shd w:val="clear" w:color="auto" w:fill="FFFFFF"/>
          <w:lang w:val="en-US" w:eastAsia="zh-CN"/>
        </w:rPr>
        <w:t>本单位是经重庆市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区机构编制委员会批准设立的财政全额补助公益一类事业单位，隶属于重庆市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w:t>
      </w:r>
      <w:r>
        <w:rPr>
          <w:rFonts w:hint="eastAsia" w:ascii="方正仿宋_GBK" w:hAnsi="方正仿宋_GBK" w:eastAsia="方正仿宋_GBK" w:cs="方正仿宋_GBK"/>
          <w:b w:val="0"/>
          <w:bCs/>
          <w:color w:val="auto"/>
          <w:sz w:val="32"/>
          <w:szCs w:val="32"/>
          <w:shd w:val="clear" w:color="auto" w:fill="FFFFFF"/>
          <w:lang w:val="en-US" w:eastAsia="zh-CN"/>
        </w:rPr>
        <w:t>双山</w:t>
      </w:r>
      <w:r>
        <w:rPr>
          <w:rFonts w:hint="default" w:ascii="方正仿宋_GBK" w:hAnsi="方正仿宋_GBK" w:eastAsia="方正仿宋_GBK" w:cs="方正仿宋_GBK"/>
          <w:b w:val="0"/>
          <w:bCs/>
          <w:color w:val="auto"/>
          <w:sz w:val="32"/>
          <w:szCs w:val="32"/>
          <w:shd w:val="clear" w:color="auto" w:fill="FFFFFF"/>
          <w:lang w:val="en-US" w:eastAsia="zh-CN"/>
        </w:rPr>
        <w:t>镇人民政府管理</w:t>
      </w:r>
      <w:r>
        <w:rPr>
          <w:rFonts w:hint="eastAsia" w:ascii="方正仿宋_GBK" w:hAnsi="方正仿宋_GBK" w:eastAsia="方正仿宋_GBK" w:cs="方正仿宋_GBK"/>
          <w:b w:val="0"/>
          <w:bCs/>
          <w:color w:val="auto"/>
          <w:sz w:val="32"/>
          <w:szCs w:val="32"/>
          <w:shd w:val="clear" w:color="auto" w:fill="FFFFFF"/>
          <w:lang w:val="en-US" w:eastAsia="zh-CN"/>
        </w:rPr>
        <w:t>。</w:t>
      </w:r>
    </w:p>
    <w:p w14:paraId="7277D678">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二、</w:t>
      </w:r>
      <w:r>
        <w:rPr>
          <w:rStyle w:val="8"/>
          <w:rFonts w:hint="eastAsia" w:ascii="黑体" w:hAnsi="黑体" w:eastAsia="方正黑体_GBK" w:cs="黑体"/>
          <w:b w:val="0"/>
          <w:bCs/>
          <w:sz w:val="32"/>
          <w:szCs w:val="32"/>
          <w:shd w:val="clear" w:color="auto" w:fill="FFFFFF"/>
          <w:lang w:eastAsia="zh-CN"/>
        </w:rPr>
        <w:t>单位</w:t>
      </w:r>
      <w:r>
        <w:rPr>
          <w:rStyle w:val="8"/>
          <w:rFonts w:ascii="黑体" w:hAnsi="黑体" w:eastAsia="方正黑体_GBK" w:cs="黑体"/>
          <w:b w:val="0"/>
          <w:bCs/>
          <w:sz w:val="32"/>
          <w:szCs w:val="32"/>
          <w:shd w:val="clear" w:color="auto" w:fill="FFFFFF"/>
        </w:rPr>
        <w:t>决算</w:t>
      </w:r>
      <w:r>
        <w:rPr>
          <w:rStyle w:val="8"/>
          <w:rFonts w:hint="eastAsia" w:ascii="黑体" w:hAnsi="黑体" w:eastAsia="方正黑体_GBK" w:cs="黑体"/>
          <w:b w:val="0"/>
          <w:bCs/>
          <w:sz w:val="32"/>
          <w:szCs w:val="32"/>
          <w:shd w:val="clear" w:color="auto" w:fill="FFFFFF"/>
          <w:lang w:eastAsia="zh-CN"/>
        </w:rPr>
        <w:t>收支</w:t>
      </w:r>
      <w:r>
        <w:rPr>
          <w:rStyle w:val="8"/>
          <w:rFonts w:ascii="黑体" w:hAnsi="黑体" w:eastAsia="方正黑体_GBK" w:cs="黑体"/>
          <w:b w:val="0"/>
          <w:bCs/>
          <w:sz w:val="32"/>
          <w:szCs w:val="32"/>
          <w:shd w:val="clear" w:color="auto" w:fill="FFFFFF"/>
        </w:rPr>
        <w:t>情况说明</w:t>
      </w:r>
    </w:p>
    <w:p w14:paraId="656B736B">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（一）收入支出决算总体情况说明。</w:t>
      </w:r>
    </w:p>
    <w:p w14:paraId="26EE725E">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1.总体情况。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度收入总计65.27万元，支出总计</w:t>
      </w:r>
      <w:r>
        <w:rPr>
          <w:rFonts w:ascii="方正仿宋_GBK" w:hAnsi="方正仿宋_GBK" w:eastAsia="方正仿宋_GBK" w:cs="方正仿宋_GBK"/>
          <w:b w:val="0"/>
          <w:bCs/>
          <w:color w:val="auto"/>
          <w:sz w:val="32"/>
          <w:szCs w:val="32"/>
        </w:rPr>
        <w:t>65.27</w:t>
      </w:r>
      <w:r>
        <w:rPr>
          <w:rFonts w:ascii="方正仿宋_GBK" w:hAnsi="方正仿宋_GBK" w:eastAsia="方正仿宋_GBK" w:cs="方正仿宋_GBK"/>
          <w:b w:val="0"/>
          <w:bCs/>
          <w:color w:val="auto"/>
          <w:sz w:val="32"/>
          <w:szCs w:val="32"/>
          <w:shd w:val="clear" w:color="auto" w:fill="FFFFFF"/>
        </w:rPr>
        <w:t>万元。收、支与2023年度相比，增加65.27万元，增长100.0%，主要原因是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0C82F666">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2.收入情况。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度收入合计65.27万元，与2023年度相比，增加65.27万元，增长100.0%，主要原因是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。其中：财政拨款收入</w:t>
      </w:r>
      <w:r>
        <w:rPr>
          <w:rFonts w:ascii="方正仿宋_GBK" w:hAnsi="方正仿宋_GBK" w:eastAsia="方正仿宋_GBK" w:cs="方正仿宋_GBK"/>
          <w:b w:val="0"/>
          <w:bCs/>
          <w:color w:val="auto"/>
          <w:sz w:val="32"/>
          <w:szCs w:val="32"/>
        </w:rPr>
        <w:t>65.27</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100.00</w:t>
      </w:r>
      <w:r>
        <w:rPr>
          <w:rFonts w:ascii="方正仿宋_GBK" w:hAnsi="方正仿宋_GBK" w:eastAsia="方正仿宋_GBK" w:cs="方正仿宋_GBK"/>
          <w:b w:val="0"/>
          <w:bCs/>
          <w:color w:val="auto"/>
          <w:sz w:val="32"/>
          <w:szCs w:val="32"/>
          <w:shd w:val="clear" w:color="auto" w:fill="FFFFFF"/>
        </w:rPr>
        <w:t>%；事业收入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万元，占0.00%；经营收入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万元，占0.00%；其他收入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万元，占0.00%。此外，使用非财政拨款结余和专用结余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万元，年初结转和结余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478817C8">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3.支出情况。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度支出合计</w:t>
      </w:r>
      <w:r>
        <w:rPr>
          <w:rFonts w:ascii="方正仿宋_GBK" w:hAnsi="方正仿宋_GBK" w:eastAsia="方正仿宋_GBK" w:cs="方正仿宋_GBK"/>
          <w:b w:val="0"/>
          <w:bCs/>
          <w:color w:val="auto"/>
          <w:sz w:val="32"/>
          <w:szCs w:val="32"/>
        </w:rPr>
        <w:t>65.27</w:t>
      </w:r>
      <w:r>
        <w:rPr>
          <w:rFonts w:ascii="方正仿宋_GBK" w:hAnsi="方正仿宋_GBK" w:eastAsia="方正仿宋_GBK" w:cs="方正仿宋_GBK"/>
          <w:b w:val="0"/>
          <w:bCs/>
          <w:color w:val="auto"/>
          <w:sz w:val="32"/>
          <w:szCs w:val="32"/>
          <w:shd w:val="clear" w:color="auto" w:fill="FFFFFF"/>
        </w:rPr>
        <w:t>万元，与2023年度相比，增加65.27万元，增长100.0%，主要原因是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。其中：基本支出</w:t>
      </w:r>
      <w:r>
        <w:rPr>
          <w:rFonts w:ascii="方正仿宋_GBK" w:hAnsi="方正仿宋_GBK" w:eastAsia="方正仿宋_GBK" w:cs="方正仿宋_GBK"/>
          <w:b w:val="0"/>
          <w:bCs/>
          <w:color w:val="auto"/>
          <w:sz w:val="32"/>
          <w:szCs w:val="32"/>
        </w:rPr>
        <w:t>64.28</w:t>
      </w:r>
      <w:r>
        <w:rPr>
          <w:rFonts w:ascii="方正仿宋_GBK" w:hAnsi="方正仿宋_GBK" w:eastAsia="方正仿宋_GBK" w:cs="方正仿宋_GBK"/>
          <w:b w:val="0"/>
          <w:bCs/>
          <w:color w:val="auto"/>
          <w:sz w:val="32"/>
          <w:szCs w:val="32"/>
          <w:shd w:val="clear" w:color="auto" w:fill="FFFFFF"/>
        </w:rPr>
        <w:t>万元，占98.48%；项目支出</w:t>
      </w:r>
      <w:r>
        <w:rPr>
          <w:rFonts w:ascii="方正仿宋_GBK" w:hAnsi="方正仿宋_GBK" w:eastAsia="方正仿宋_GBK" w:cs="方正仿宋_GBK"/>
          <w:b w:val="0"/>
          <w:bCs/>
          <w:color w:val="auto"/>
          <w:sz w:val="32"/>
          <w:szCs w:val="32"/>
        </w:rPr>
        <w:t>0.99</w:t>
      </w:r>
      <w:r>
        <w:rPr>
          <w:rFonts w:ascii="方正仿宋_GBK" w:hAnsi="方正仿宋_GBK" w:eastAsia="方正仿宋_GBK" w:cs="方正仿宋_GBK"/>
          <w:b w:val="0"/>
          <w:bCs/>
          <w:color w:val="auto"/>
          <w:sz w:val="32"/>
          <w:szCs w:val="32"/>
          <w:shd w:val="clear" w:color="auto" w:fill="FFFFFF"/>
        </w:rPr>
        <w:t>万元，占1.52%；经营支出</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万元，占0.00%。此外，结余分配</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6AE32A34">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8"/>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219E4875">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（二）财政拨款收入支出决算总体情况说明</w:t>
      </w:r>
    </w:p>
    <w:p w14:paraId="4800DA77">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度财政拨款收、支总计65.27万元。与202</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年相比，财政拨款收、支总计各增加65.27万元，增长100.0%。主要原因是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52E4B1CE">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（三）一般公共预算财政拨款收入支出决算情况说明</w:t>
      </w:r>
    </w:p>
    <w:p w14:paraId="0AC054BB">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1.收入情况。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度一般公共预算财政拨款收入</w:t>
      </w:r>
      <w:r>
        <w:rPr>
          <w:rFonts w:ascii="方正仿宋_GBK" w:hAnsi="方正仿宋_GBK" w:eastAsia="方正仿宋_GBK" w:cs="方正仿宋_GBK"/>
          <w:b w:val="0"/>
          <w:bCs/>
          <w:color w:val="auto"/>
          <w:sz w:val="32"/>
          <w:szCs w:val="32"/>
        </w:rPr>
        <w:t>65.27</w:t>
      </w:r>
      <w:r>
        <w:rPr>
          <w:rFonts w:ascii="方正仿宋_GBK" w:hAnsi="方正仿宋_GBK" w:eastAsia="方正仿宋_GBK" w:cs="方正仿宋_GBK"/>
          <w:b w:val="0"/>
          <w:bCs/>
          <w:color w:val="auto"/>
          <w:sz w:val="32"/>
          <w:szCs w:val="32"/>
          <w:shd w:val="clear" w:color="auto" w:fill="FFFFFF"/>
        </w:rPr>
        <w:t>万元，与2023年度相比，增加65.27万元，增长100.0%。主要原因是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。较年初预算数减少12.88万元，下降16.5%。主要原因是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ascii="方正仿宋_GBK" w:hAnsi="方正仿宋_GBK" w:eastAsia="方正仿宋_GBK" w:cs="方正仿宋_GBK"/>
          <w:b w:val="0"/>
          <w:bCs/>
          <w:color w:val="auto"/>
          <w:sz w:val="32"/>
          <w:szCs w:val="32"/>
          <w:shd w:val="clear" w:color="auto" w:fill="FFFFFF"/>
        </w:rPr>
        <w:t>此外，年初财政拨款结转和结余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14:paraId="27AD4812">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Style w:val="8"/>
          <w:rFonts w:ascii="方正仿宋_GBK" w:hAnsi="方正仿宋_GBK" w:eastAsia="方正仿宋_GBK" w:cs="方正仿宋_GBK"/>
          <w:b w:val="0"/>
          <w:bCs/>
          <w:color w:val="auto"/>
          <w:sz w:val="32"/>
          <w:szCs w:val="32"/>
          <w:shd w:val="clear" w:color="auto" w:fill="FFFFFF"/>
        </w:rPr>
        <w:t>2.支出情况。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度一般公共预算财政拨款支出</w:t>
      </w:r>
      <w:r>
        <w:rPr>
          <w:rFonts w:ascii="方正仿宋_GBK" w:hAnsi="方正仿宋_GBK" w:eastAsia="方正仿宋_GBK" w:cs="方正仿宋_GBK"/>
          <w:b w:val="0"/>
          <w:bCs/>
          <w:color w:val="auto"/>
          <w:sz w:val="32"/>
          <w:szCs w:val="32"/>
        </w:rPr>
        <w:t>65.27</w:t>
      </w:r>
      <w:r>
        <w:rPr>
          <w:rFonts w:ascii="方正仿宋_GBK" w:hAnsi="方正仿宋_GBK" w:eastAsia="方正仿宋_GBK" w:cs="方正仿宋_GBK"/>
          <w:b w:val="0"/>
          <w:bCs/>
          <w:color w:val="auto"/>
          <w:sz w:val="32"/>
          <w:szCs w:val="32"/>
          <w:shd w:val="clear" w:color="auto" w:fill="FFFFFF"/>
        </w:rPr>
        <w:t>万元，与2023年度相比，增加65.27万元，增长100.0%。主要原因是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。较年初预算数减少12.88万元，下降16.5%。主要原因是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721C7685">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Style w:val="8"/>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度年末一般公共预算财政拨款结转和结余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7D7E7B3E">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 xml:space="preserve"> 4.比较情况。</w:t>
      </w: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单位2024年</w:t>
      </w:r>
      <w:r>
        <w:rPr>
          <w:rFonts w:ascii="方正仿宋_GBK" w:hAnsi="方正仿宋_GBK" w:eastAsia="方正仿宋_GBK" w:cs="方正仿宋_GBK"/>
          <w:b w:val="0"/>
          <w:bCs/>
          <w:sz w:val="32"/>
          <w:szCs w:val="32"/>
          <w:shd w:val="clear" w:color="auto" w:fill="FFFFFF"/>
        </w:rPr>
        <w:t>度一般公共预算财政拨款支出主要用于以下几个方面：</w:t>
      </w:r>
    </w:p>
    <w:p w14:paraId="2F721BAE">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1</w:t>
      </w:r>
      <w:r>
        <w:rPr>
          <w:rFonts w:ascii="方正仿宋_GBK" w:hAnsi="方正仿宋_GBK" w:eastAsia="方正仿宋_GBK" w:cs="方正仿宋_GBK"/>
          <w:b w:val="0"/>
          <w:bCs/>
          <w:color w:val="auto"/>
          <w:sz w:val="32"/>
          <w:szCs w:val="32"/>
          <w:shd w:val="clear" w:color="auto" w:fill="FFFFFF"/>
        </w:rPr>
        <w:t>）文化旅游体育与传媒支出</w:t>
      </w:r>
      <w:r>
        <w:rPr>
          <w:rFonts w:ascii="方正仿宋_GBK" w:hAnsi="方正仿宋_GBK" w:eastAsia="方正仿宋_GBK" w:cs="方正仿宋_GBK"/>
          <w:b w:val="0"/>
          <w:bCs/>
          <w:color w:val="auto"/>
          <w:sz w:val="32"/>
          <w:szCs w:val="32"/>
        </w:rPr>
        <w:t>51.86</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79.45</w:t>
      </w:r>
      <w:r>
        <w:rPr>
          <w:rFonts w:ascii="方正仿宋_GBK" w:hAnsi="方正仿宋_GBK" w:eastAsia="方正仿宋_GBK" w:cs="方正仿宋_GBK"/>
          <w:b w:val="0"/>
          <w:bCs/>
          <w:color w:val="auto"/>
          <w:sz w:val="32"/>
          <w:szCs w:val="32"/>
          <w:shd w:val="clear" w:color="auto" w:fill="FFFFFF"/>
        </w:rPr>
        <w:t>%，较年初预算数减少12.12万元，下降18.9%，主要原因是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01817590">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2</w:t>
      </w:r>
      <w:r>
        <w:rPr>
          <w:rFonts w:ascii="方正仿宋_GBK" w:hAnsi="方正仿宋_GBK" w:eastAsia="方正仿宋_GBK" w:cs="方正仿宋_GBK"/>
          <w:b w:val="0"/>
          <w:bCs/>
          <w:color w:val="auto"/>
          <w:sz w:val="32"/>
          <w:szCs w:val="32"/>
          <w:shd w:val="clear" w:color="auto" w:fill="FFFFFF"/>
        </w:rPr>
        <w:t>）社会保障与就业支出</w:t>
      </w:r>
      <w:r>
        <w:rPr>
          <w:rFonts w:ascii="方正仿宋_GBK" w:hAnsi="方正仿宋_GBK" w:eastAsia="方正仿宋_GBK" w:cs="方正仿宋_GBK"/>
          <w:b w:val="0"/>
          <w:bCs/>
          <w:color w:val="auto"/>
          <w:sz w:val="32"/>
          <w:szCs w:val="32"/>
        </w:rPr>
        <w:t>8.40</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12.87</w:t>
      </w:r>
      <w:r>
        <w:rPr>
          <w:rFonts w:ascii="方正仿宋_GBK" w:hAnsi="方正仿宋_GBK" w:eastAsia="方正仿宋_GBK" w:cs="方正仿宋_GBK"/>
          <w:b w:val="0"/>
          <w:bCs/>
          <w:color w:val="auto"/>
          <w:sz w:val="32"/>
          <w:szCs w:val="32"/>
          <w:shd w:val="clear" w:color="auto" w:fill="FFFFFF"/>
        </w:rPr>
        <w:t>%，较年初预算数减少0.02万元，下降0.2%，主要原因是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30084813">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）卫生健康支出</w:t>
      </w:r>
      <w:r>
        <w:rPr>
          <w:rFonts w:ascii="方正仿宋_GBK" w:hAnsi="方正仿宋_GBK" w:eastAsia="方正仿宋_GBK" w:cs="方正仿宋_GBK"/>
          <w:b w:val="0"/>
          <w:bCs/>
          <w:color w:val="auto"/>
          <w:sz w:val="32"/>
          <w:szCs w:val="32"/>
        </w:rPr>
        <w:t>2.35</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3.61</w:t>
      </w:r>
      <w:r>
        <w:rPr>
          <w:rFonts w:ascii="方正仿宋_GBK" w:hAnsi="方正仿宋_GBK" w:eastAsia="方正仿宋_GBK" w:cs="方正仿宋_GBK"/>
          <w:b w:val="0"/>
          <w:bCs/>
          <w:color w:val="auto"/>
          <w:sz w:val="32"/>
          <w:szCs w:val="32"/>
          <w:shd w:val="clear" w:color="auto" w:fill="FFFFFF"/>
        </w:rPr>
        <w:t>%，较年初预算数减少0.75万元，下降24.2%，主要原因是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0591E70C">
      <w:pPr>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住房保障支出2.65</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4.07</w:t>
      </w:r>
      <w:r>
        <w:rPr>
          <w:rFonts w:ascii="方正仿宋_GBK" w:hAnsi="方正仿宋_GBK" w:eastAsia="方正仿宋_GBK" w:cs="方正仿宋_GBK"/>
          <w:b w:val="0"/>
          <w:bCs/>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w:t>
      </w:r>
    </w:p>
    <w:p w14:paraId="751DD64B">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（四）一般公共预算财政拨款基本支出决算情况说明</w:t>
      </w:r>
    </w:p>
    <w:p w14:paraId="2A3B74FE">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度一般公共财政拨款基本支出</w:t>
      </w:r>
      <w:r>
        <w:rPr>
          <w:rFonts w:ascii="方正仿宋_GBK" w:hAnsi="方正仿宋_GBK" w:eastAsia="方正仿宋_GBK" w:cs="方正仿宋_GBK"/>
          <w:b w:val="0"/>
          <w:bCs/>
          <w:color w:val="auto"/>
          <w:sz w:val="32"/>
          <w:szCs w:val="32"/>
        </w:rPr>
        <w:t>64.28</w:t>
      </w:r>
      <w:r>
        <w:rPr>
          <w:rFonts w:ascii="方正仿宋_GBK" w:hAnsi="方正仿宋_GBK" w:eastAsia="方正仿宋_GBK" w:cs="方正仿宋_GBK"/>
          <w:b w:val="0"/>
          <w:bCs/>
          <w:color w:val="auto"/>
          <w:sz w:val="32"/>
          <w:szCs w:val="32"/>
          <w:shd w:val="clear" w:color="auto" w:fill="FFFFFF"/>
        </w:rPr>
        <w:t>万元。其中：人员经费</w:t>
      </w:r>
      <w:r>
        <w:rPr>
          <w:rFonts w:ascii="方正仿宋_GBK" w:hAnsi="方正仿宋_GBK" w:eastAsia="方正仿宋_GBK" w:cs="方正仿宋_GBK"/>
          <w:b w:val="0"/>
          <w:bCs/>
          <w:color w:val="auto"/>
          <w:sz w:val="32"/>
          <w:szCs w:val="32"/>
        </w:rPr>
        <w:t>57.39</w:t>
      </w:r>
      <w:r>
        <w:rPr>
          <w:rFonts w:ascii="方正仿宋_GBK" w:hAnsi="方正仿宋_GBK" w:eastAsia="方正仿宋_GBK" w:cs="方正仿宋_GBK"/>
          <w:b w:val="0"/>
          <w:bCs/>
          <w:color w:val="auto"/>
          <w:sz w:val="32"/>
          <w:szCs w:val="32"/>
          <w:shd w:val="clear" w:color="auto" w:fill="FFFFFF"/>
        </w:rPr>
        <w:t>万元，与2023年度相比，增加57.39万元，增长100.0%，主要原因是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。人员经费用途主要包括</w:t>
      </w:r>
      <w:r>
        <w:rPr>
          <w:rFonts w:hint="eastAsia" w:ascii="方正仿宋_GBK" w:hAnsi="方正仿宋_GBK" w:eastAsia="方正仿宋_GBK" w:cs="方正仿宋_GBK"/>
          <w:b w:val="0"/>
          <w:bCs/>
          <w:color w:val="auto"/>
          <w:sz w:val="32"/>
          <w:szCs w:val="32"/>
          <w:shd w:val="clear" w:color="auto" w:fill="FFFFFF"/>
          <w:lang w:val="en-US" w:eastAsia="zh-CN"/>
        </w:rPr>
        <w:t>人员工资和五险一金</w:t>
      </w:r>
      <w:r>
        <w:rPr>
          <w:rFonts w:ascii="方正仿宋_GBK" w:hAnsi="方正仿宋_GBK" w:eastAsia="方正仿宋_GBK" w:cs="方正仿宋_GBK"/>
          <w:b w:val="0"/>
          <w:bCs/>
          <w:color w:val="auto"/>
          <w:sz w:val="32"/>
          <w:szCs w:val="32"/>
          <w:shd w:val="clear" w:color="auto" w:fill="FFFFFF"/>
        </w:rPr>
        <w:t>。公用经费</w:t>
      </w:r>
      <w:r>
        <w:rPr>
          <w:rFonts w:ascii="方正仿宋_GBK" w:hAnsi="方正仿宋_GBK" w:eastAsia="方正仿宋_GBK" w:cs="方正仿宋_GBK"/>
          <w:b w:val="0"/>
          <w:bCs/>
          <w:color w:val="auto"/>
          <w:sz w:val="32"/>
          <w:szCs w:val="32"/>
        </w:rPr>
        <w:t>6.89</w:t>
      </w:r>
      <w:r>
        <w:rPr>
          <w:rFonts w:ascii="方正仿宋_GBK" w:hAnsi="方正仿宋_GBK" w:eastAsia="方正仿宋_GBK" w:cs="方正仿宋_GBK"/>
          <w:b w:val="0"/>
          <w:bCs/>
          <w:color w:val="auto"/>
          <w:sz w:val="32"/>
          <w:szCs w:val="32"/>
          <w:shd w:val="clear" w:color="auto" w:fill="FFFFFF"/>
        </w:rPr>
        <w:t>万元，与2023年度相比，增加6.89万元，增长100.0%，主要原因是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。公用经费用途主要包括</w:t>
      </w:r>
      <w:r>
        <w:rPr>
          <w:rFonts w:hint="eastAsia" w:ascii="方正仿宋_GBK" w:hAnsi="方正仿宋_GBK" w:eastAsia="方正仿宋_GBK" w:cs="方正仿宋_GBK"/>
          <w:b w:val="0"/>
          <w:bCs/>
          <w:color w:val="auto"/>
          <w:sz w:val="32"/>
          <w:szCs w:val="32"/>
          <w:shd w:val="clear" w:color="auto" w:fill="FFFFFF"/>
        </w:rPr>
        <w:t>办公费、水费、电费、邮电费、维修（护）费、委托业务费、其他商品服务费</w:t>
      </w:r>
      <w:r>
        <w:rPr>
          <w:rFonts w:ascii="方正仿宋_GBK" w:hAnsi="方正仿宋_GBK" w:eastAsia="方正仿宋_GBK" w:cs="方正仿宋_GBK"/>
          <w:b w:val="0"/>
          <w:bCs/>
          <w:color w:val="auto"/>
          <w:sz w:val="32"/>
          <w:szCs w:val="32"/>
          <w:shd w:val="clear" w:color="auto" w:fill="FFFFFF"/>
        </w:rPr>
        <w:t>。</w:t>
      </w:r>
    </w:p>
    <w:p w14:paraId="032D890C">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（五）政府性基金预算收支决算情况说明</w:t>
      </w:r>
    </w:p>
    <w:p w14:paraId="0A8B6A1C">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lang w:val="en-US" w:eastAsia="zh-CN"/>
        </w:rPr>
        <w:t>本单位2024年度无政府性基金预算财政拨款收支。</w:t>
      </w:r>
    </w:p>
    <w:p w14:paraId="33A44840">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（六）国有资本经营预算财政拨款支出决算情况说明</w:t>
      </w:r>
    </w:p>
    <w:p w14:paraId="2D8FC987">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val="en-US" w:eastAsia="zh-CN"/>
        </w:rPr>
        <w:t>本单位2024年度无国有资本经营预算财政拨款支出。</w:t>
      </w:r>
    </w:p>
    <w:p w14:paraId="36ACD4C0">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三、</w:t>
      </w:r>
      <w:r>
        <w:rPr>
          <w:rStyle w:val="8"/>
          <w:rFonts w:hint="eastAsia" w:ascii="黑体" w:hAnsi="黑体" w:eastAsia="方正黑体_GBK" w:cs="黑体"/>
          <w:b w:val="0"/>
          <w:bCs/>
          <w:sz w:val="32"/>
          <w:szCs w:val="32"/>
          <w:shd w:val="clear" w:color="auto" w:fill="FFFFFF"/>
          <w:lang w:eastAsia="zh-CN"/>
        </w:rPr>
        <w:t>财政拨款</w:t>
      </w:r>
      <w:r>
        <w:rPr>
          <w:rStyle w:val="8"/>
          <w:rFonts w:ascii="黑体" w:hAnsi="黑体" w:eastAsia="方正黑体_GBK" w:cs="黑体"/>
          <w:b w:val="0"/>
          <w:bCs/>
          <w:sz w:val="32"/>
          <w:szCs w:val="32"/>
          <w:shd w:val="clear" w:color="auto" w:fill="FFFFFF"/>
        </w:rPr>
        <w:t>“三公”经费情况说明</w:t>
      </w:r>
    </w:p>
    <w:p w14:paraId="395D235E">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 xml:space="preserve"> （一）“三公”经费支出总体情况说明</w:t>
      </w:r>
    </w:p>
    <w:p w14:paraId="21A0FA79">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度“三公”经费支出共计</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万元，较年初预算数无增减</w:t>
      </w:r>
      <w:r>
        <w:rPr>
          <w:rFonts w:ascii="方正仿宋_GBK" w:hAnsi="方正仿宋_GBK" w:eastAsia="方正仿宋_GBK" w:cs="方正仿宋_GBK"/>
          <w:b w:val="0"/>
          <w:bCs/>
          <w:color w:val="FF0000"/>
          <w:sz w:val="32"/>
          <w:szCs w:val="32"/>
          <w:shd w:val="clear" w:color="auto" w:fill="FFFFFF"/>
        </w:rPr>
        <w:t>。</w:t>
      </w:r>
    </w:p>
    <w:p w14:paraId="77D62152">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（二）“三公”经费分项支出情况</w:t>
      </w:r>
    </w:p>
    <w:p w14:paraId="62AB409A">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2024年度本单位因公出国（境）费用0.00万元。费用支出较年初预算数无增减。与2023年度相比，无增减。</w:t>
      </w:r>
    </w:p>
    <w:p w14:paraId="1C789C3C">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 公务车购置费0.00万元。费用支出较年初预算数无增减。与2023年度相比，无增减。</w:t>
      </w:r>
    </w:p>
    <w:p w14:paraId="67C585EE">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 公务车运行维护费0.00万元。费用支出较年初预算数无增减。与2023年度相比，无增减。</w:t>
      </w:r>
    </w:p>
    <w:p w14:paraId="7E3F5116">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 公务接待费0.00万元。费用支出较年初预算数无增减。较上年支出数无增减。</w:t>
      </w:r>
    </w:p>
    <w:p w14:paraId="3A84346C">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（三）“三公”经费实物量情况</w:t>
      </w:r>
    </w:p>
    <w:p w14:paraId="79F948E2">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 xml:space="preserve">  </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个团组，</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人；公务用车购置</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辆，公务车保有量为</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辆；国内公务接待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人，其中：国内外事接待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人；国（境）外公务接待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元，车均购置费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万元，车均维护费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14:paraId="6B18BC4E">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其他需要说明的事项</w:t>
      </w:r>
    </w:p>
    <w:p w14:paraId="42B6AF07">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（一）财政拨款会议费和培训费情况说明</w:t>
      </w:r>
    </w:p>
    <w:p w14:paraId="341B3A10">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本年度会议费支出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万元，与2023年度相比，无增减。本年度培训费支出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万元，与2023年度相比，无变化。</w:t>
      </w:r>
    </w:p>
    <w:p w14:paraId="0DEE4723">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（二）机关运行经费情况说明</w:t>
      </w:r>
    </w:p>
    <w:p w14:paraId="3453805A">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方正仿宋_GBK" w:hAnsi="方正仿宋_GBK" w:eastAsia="方正仿宋_GBK" w:cs="方正仿宋_GBK"/>
          <w:b w:val="0"/>
          <w:bCs/>
          <w:color w:val="auto"/>
          <w:sz w:val="32"/>
          <w:szCs w:val="32"/>
        </w:rPr>
        <w:t>按照</w:t>
      </w:r>
      <w:r>
        <w:rPr>
          <w:rFonts w:hint="eastAsia" w:ascii="方正仿宋_GBK" w:hAnsi="方正仿宋_GBK" w:eastAsia="方正仿宋_GBK" w:cs="方正仿宋_GBK"/>
          <w:b w:val="0"/>
          <w:bCs/>
          <w:color w:val="auto"/>
          <w:sz w:val="32"/>
          <w:szCs w:val="32"/>
          <w:lang w:eastAsia="zh-CN"/>
        </w:rPr>
        <w:t>单位</w:t>
      </w:r>
      <w:r>
        <w:rPr>
          <w:rFonts w:hint="default" w:ascii="方正仿宋_GBK" w:hAnsi="方正仿宋_GBK" w:eastAsia="方正仿宋_GBK" w:cs="方正仿宋_GBK"/>
          <w:b w:val="0"/>
          <w:bCs/>
          <w:color w:val="auto"/>
          <w:sz w:val="32"/>
          <w:szCs w:val="32"/>
        </w:rPr>
        <w:t>决算列报口径，我单位不在机关运行经费统计范围之内。</w:t>
      </w:r>
    </w:p>
    <w:p w14:paraId="2BFD7DD4">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14:paraId="2C3BB962">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12月31日，本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辆、应急保障用车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14:paraId="196C42FF">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14:paraId="68910D4A">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度我单位未发生政府采购事项，无相关经费支出。</w:t>
      </w:r>
    </w:p>
    <w:p w14:paraId="1FE23B8E">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sz w:val="32"/>
          <w:szCs w:val="32"/>
          <w:shd w:val="clear" w:color="auto" w:fill="FFFFFF"/>
          <w:lang w:val="en-US" w:eastAsia="zh-CN" w:bidi="ar-SA"/>
        </w:rPr>
      </w:pPr>
      <w:r>
        <w:rPr>
          <w:rStyle w:val="8"/>
          <w:rFonts w:hint="eastAsia" w:ascii="黑体" w:hAnsi="黑体" w:eastAsia="方正黑体_GBK" w:cs="黑体"/>
          <w:b w:val="0"/>
          <w:bCs/>
          <w:sz w:val="32"/>
          <w:szCs w:val="32"/>
          <w:shd w:val="clear" w:color="auto" w:fill="FFFFFF"/>
          <w:lang w:val="en-US" w:eastAsia="zh-CN" w:bidi="ar-SA"/>
        </w:rPr>
        <w:t>五、2024年度预算绩效管理情况说明</w:t>
      </w:r>
    </w:p>
    <w:p w14:paraId="55145503">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（一）预算绩效管理工作开展情况</w:t>
      </w:r>
    </w:p>
    <w:p w14:paraId="7673ED0C">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根据预算绩效管理要求，我</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项，涉及资金</w:t>
      </w:r>
      <w:r>
        <w:rPr>
          <w:rFonts w:hint="eastAsia" w:ascii="方正仿宋_GBK" w:hAnsi="方正仿宋_GBK" w:eastAsia="方正仿宋_GBK" w:cs="方正仿宋_GBK"/>
          <w:b w:val="0"/>
          <w:bCs/>
          <w:kern w:val="0"/>
          <w:sz w:val="32"/>
          <w:szCs w:val="32"/>
          <w:shd w:val="clear" w:fill="FFFFFF"/>
          <w:lang w:val="en-US" w:eastAsia="zh-CN"/>
        </w:rPr>
        <w:t>0.99</w:t>
      </w:r>
      <w:r>
        <w:rPr>
          <w:rFonts w:hint="eastAsia" w:ascii="方正仿宋_GBK" w:hAnsi="方正仿宋_GBK" w:eastAsia="方正仿宋_GBK" w:cs="方正仿宋_GBK"/>
          <w:b w:val="0"/>
          <w:bCs/>
          <w:kern w:val="0"/>
          <w:sz w:val="32"/>
          <w:szCs w:val="32"/>
          <w:shd w:val="clear" w:fill="FFFFFF"/>
        </w:rPr>
        <w:t>万元；</w:t>
      </w:r>
    </w:p>
    <w:p w14:paraId="4579FC5D">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（二）绩效自评结果</w:t>
      </w:r>
    </w:p>
    <w:p w14:paraId="33F8A456">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1.项目绩效自评表。</w:t>
      </w:r>
    </w:p>
    <w:p w14:paraId="3D52C689">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详见附件。</w:t>
      </w:r>
    </w:p>
    <w:p w14:paraId="5816212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2.项目绩效自评报告或案例。</w:t>
      </w:r>
    </w:p>
    <w:p w14:paraId="65749D2C">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14:paraId="1BA7F0EF">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3.关于绩效自评结果的说明。</w:t>
      </w:r>
    </w:p>
    <w:p w14:paraId="030637BE">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我</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对</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个项目进行绩效自评，其中</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个已完成年度绩效目标，</w:t>
      </w:r>
      <w:r>
        <w:rPr>
          <w:rFonts w:hint="eastAsia" w:ascii="方正仿宋_GBK" w:hAnsi="方正仿宋_GBK" w:eastAsia="方正仿宋_GBK" w:cs="方正仿宋_GBK"/>
          <w:b w:val="0"/>
          <w:bCs/>
          <w:kern w:val="0"/>
          <w:sz w:val="32"/>
          <w:szCs w:val="32"/>
          <w:shd w:val="clear" w:fill="FFFFFF"/>
          <w:lang w:val="en-US" w:eastAsia="zh-CN"/>
        </w:rPr>
        <w:t>0</w:t>
      </w:r>
      <w:r>
        <w:rPr>
          <w:rFonts w:hint="eastAsia" w:ascii="方正仿宋_GBK" w:hAnsi="方正仿宋_GBK" w:eastAsia="方正仿宋_GBK" w:cs="方正仿宋_GBK"/>
          <w:b w:val="0"/>
          <w:bCs/>
          <w:kern w:val="0"/>
          <w:sz w:val="32"/>
          <w:szCs w:val="32"/>
          <w:shd w:val="clear" w:fill="FFFFFF"/>
        </w:rPr>
        <w:t>个未完成年度绩效目标。</w:t>
      </w:r>
    </w:p>
    <w:p w14:paraId="6B323B28">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楷体" w:hAnsi="楷体" w:eastAsia="方正楷体_GBK" w:cs="楷体"/>
          <w:b w:val="0"/>
          <w:bCs/>
          <w:kern w:val="0"/>
          <w:sz w:val="32"/>
          <w:szCs w:val="32"/>
          <w:shd w:val="clear" w:fill="FFFFFF"/>
          <w:lang w:val="en-US" w:eastAsia="zh-CN" w:bidi="ar"/>
        </w:rPr>
      </w:pPr>
      <w:r>
        <w:rPr>
          <w:rFonts w:hint="eastAsia" w:ascii="楷体" w:hAnsi="楷体" w:eastAsia="方正楷体_GBK" w:cs="楷体"/>
          <w:b w:val="0"/>
          <w:bCs/>
          <w:kern w:val="0"/>
          <w:sz w:val="32"/>
          <w:szCs w:val="32"/>
          <w:shd w:val="clear" w:fill="FFFFFF"/>
          <w:lang w:val="en-US" w:eastAsia="zh-CN" w:bidi="ar"/>
        </w:rPr>
        <w:t>（三）财政重点绩效评价情况</w:t>
      </w:r>
    </w:p>
    <w:p w14:paraId="443E1705">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shd w:val="clear" w:fill="FFFFFF"/>
          <w:lang w:val="en-US" w:eastAsia="zh-CN"/>
        </w:rPr>
      </w:pPr>
      <w:r>
        <w:rPr>
          <w:rFonts w:hint="eastAsia" w:ascii="方正仿宋_GBK" w:hAnsi="方正仿宋_GBK" w:eastAsia="方正仿宋_GBK" w:cs="方正仿宋_GBK"/>
          <w:b w:val="0"/>
          <w:bCs/>
          <w:kern w:val="0"/>
          <w:sz w:val="32"/>
          <w:szCs w:val="32"/>
          <w:shd w:val="clear" w:fill="FFFFFF"/>
          <w:lang w:val="en-US" w:eastAsia="zh-CN"/>
        </w:rPr>
        <w:t>我单位无财政重点绩效评价项目。</w:t>
      </w:r>
    </w:p>
    <w:p w14:paraId="13839AFC">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fill="FFFFFF"/>
        </w:rPr>
        <w:t xml:space="preserve"> </w:t>
      </w:r>
      <w:r>
        <w:rPr>
          <w:rStyle w:val="11"/>
          <w:rFonts w:hint="eastAsia" w:ascii="方正仿宋_GBK" w:hAnsi="方正仿宋_GBK" w:eastAsia="方正仿宋_GBK" w:cs="方正仿宋_GBK"/>
          <w:b w:val="0"/>
          <w:bCs/>
          <w:sz w:val="32"/>
          <w:szCs w:val="32"/>
          <w:shd w:val="clear" w:fill="FFFFFF"/>
          <w:lang w:val="en-US" w:eastAsia="zh-CN"/>
        </w:rPr>
        <w:t xml:space="preserve">  </w:t>
      </w:r>
      <w:r>
        <w:rPr>
          <w:rStyle w:val="8"/>
          <w:rFonts w:hint="eastAsia" w:ascii="黑体" w:hAnsi="黑体" w:eastAsia="方正黑体_GBK" w:cs="黑体"/>
          <w:b w:val="0"/>
          <w:bCs/>
          <w:sz w:val="32"/>
          <w:szCs w:val="32"/>
          <w:shd w:val="clear" w:color="auto" w:fill="FFFFFF"/>
          <w:lang w:val="en-US" w:eastAsia="zh-CN" w:bidi="ar-SA"/>
        </w:rPr>
        <w:t xml:space="preserve"> 六、专业名词解释</w:t>
      </w:r>
    </w:p>
    <w:p w14:paraId="2B7294A0">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取得的财政拨款，包括一般公共预算财政拨款和政府性基金预算财政拨款。</w:t>
      </w:r>
    </w:p>
    <w:p w14:paraId="0F249CA7">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w:t>
      </w:r>
      <w:bookmarkStart w:id="0" w:name="_GoBack"/>
      <w:bookmarkEnd w:id="0"/>
      <w:r>
        <w:rPr>
          <w:rFonts w:hint="eastAsia" w:ascii="方正仿宋_GBK" w:hAnsi="方正仿宋_GBK" w:eastAsia="方正仿宋_GBK" w:cs="方正仿宋_GBK"/>
          <w:b w:val="0"/>
          <w:bCs/>
          <w:kern w:val="0"/>
          <w:sz w:val="32"/>
          <w:szCs w:val="32"/>
          <w:shd w:val="clear" w:fill="FFFFFF"/>
        </w:rPr>
        <w:t>政专户实际核拨的教育收费等资金在此反映。</w:t>
      </w:r>
    </w:p>
    <w:p w14:paraId="3103EB39">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14:paraId="3E5BD3F5">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以外的同级单位取得的经费、从非本级财政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取得的经费，以及行政单位收到的财政专户管理资金反映在本项内。</w:t>
      </w:r>
    </w:p>
    <w:p w14:paraId="2F573156">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456BA65">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14:paraId="15DD5B26">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14:paraId="26F38984">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14:paraId="715E5DEC">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021F24">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14:paraId="3B7A45AF">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14:paraId="59D48432">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4ED2AB">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1962DE">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14:paraId="368C2031">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14:paraId="695D31C5">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14:paraId="631A54DF">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集中安排的用于购置固定资产、战略性和应急性储备、土地和无形资产，以及构建基础设施、大型修缮和财政支持企业更新改造所发生的支出。</w:t>
      </w:r>
    </w:p>
    <w:p w14:paraId="7FFDE492">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方正黑体_GBK" w:cs="黑体"/>
          <w:b w:val="0"/>
          <w:bCs/>
          <w:sz w:val="32"/>
          <w:szCs w:val="32"/>
          <w:shd w:val="clear" w:color="auto" w:fill="FFFFFF"/>
          <w:lang w:val="en-US" w:eastAsia="zh-CN" w:bidi="ar-SA"/>
        </w:rPr>
        <w:t>七、决算公开联系方式及信息反馈渠道</w:t>
      </w:r>
    </w:p>
    <w:p w14:paraId="5077783C">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14:paraId="528C09CE">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kern w:val="0"/>
          <w:sz w:val="32"/>
          <w:szCs w:val="32"/>
          <w:lang w:val="en-US" w:eastAsia="zh-CN"/>
        </w:rPr>
      </w:pPr>
      <w:r>
        <w:rPr>
          <w:rFonts w:hint="eastAsia" w:ascii="方正仿宋_GBK" w:hAnsi="方正仿宋_GBK" w:eastAsia="方正仿宋_GBK" w:cs="方正仿宋_GBK"/>
          <w:b w:val="0"/>
          <w:bCs/>
          <w:color w:val="auto"/>
          <w:kern w:val="0"/>
          <w:sz w:val="32"/>
          <w:szCs w:val="32"/>
          <w:shd w:val="clear" w:fill="FFFFFF"/>
          <w:lang w:eastAsia="zh-CN"/>
        </w:rPr>
        <w:t>联系人：汪子钦</w:t>
      </w:r>
      <w:r>
        <w:rPr>
          <w:rFonts w:hint="eastAsia" w:ascii="方正仿宋_GBK" w:hAnsi="方正仿宋_GBK" w:eastAsia="方正仿宋_GBK" w:cs="方正仿宋_GBK"/>
          <w:b w:val="0"/>
          <w:bCs/>
          <w:color w:val="auto"/>
          <w:kern w:val="0"/>
          <w:sz w:val="32"/>
          <w:szCs w:val="32"/>
          <w:shd w:val="clear" w:fill="FFFFFF"/>
          <w:lang w:val="en-US" w:eastAsia="zh-CN"/>
        </w:rPr>
        <w:t xml:space="preserve"> 联系方式：</w:t>
      </w:r>
      <w:r>
        <w:rPr>
          <w:rFonts w:hint="eastAsia" w:ascii="方正仿宋_GBK" w:hAnsi="方正仿宋_GBK" w:eastAsia="方正仿宋_GBK" w:cs="方正仿宋_GBK"/>
          <w:b w:val="0"/>
          <w:bCs/>
          <w:color w:val="auto"/>
          <w:kern w:val="0"/>
          <w:sz w:val="32"/>
          <w:szCs w:val="32"/>
          <w:shd w:val="clear" w:fill="FFFFFF"/>
        </w:rPr>
        <w:t>023-</w:t>
      </w:r>
      <w:r>
        <w:rPr>
          <w:rFonts w:hint="eastAsia" w:ascii="方正仿宋_GBK" w:hAnsi="方正仿宋_GBK" w:eastAsia="方正仿宋_GBK" w:cs="方正仿宋_GBK"/>
          <w:b w:val="0"/>
          <w:bCs/>
          <w:color w:val="auto"/>
          <w:kern w:val="0"/>
          <w:sz w:val="32"/>
          <w:szCs w:val="32"/>
          <w:shd w:val="clear" w:fill="FFFFFF"/>
          <w:lang w:val="en-US" w:eastAsia="zh-CN"/>
        </w:rPr>
        <w:t>45218304</w:t>
      </w: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
    <w:altName w:val="宋体"/>
    <w:panose1 w:val="00000000000000000000"/>
    <w:charset w:val="00"/>
    <w:family w:val="auto"/>
    <w:pitch w:val="default"/>
    <w:sig w:usb0="00000000" w:usb1="00000000" w:usb2="00000000" w:usb3="00000000" w:csb0="00000000" w:csb1="00000000"/>
  </w:font>
  <w:font w:name="方正_GBK">
    <w:altName w:val="Segoe Print"/>
    <w:panose1 w:val="00000000000000000000"/>
    <w:charset w:val="00"/>
    <w:family w:val="auto"/>
    <w:pitch w:val="default"/>
    <w:sig w:usb0="00000000" w:usb1="00000000" w:usb2="00000000" w:usb3="00000000" w:csb0="00000000" w:csb1="00000000"/>
  </w:font>
  <w:font w:name="方正_GBK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DB4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4D9DB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24D9DB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6E7F1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D6E7F1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2BD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7C6DF"/>
    <w:multiLevelType w:val="singleLevel"/>
    <w:tmpl w:val="5BF7C6D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3B4D51"/>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A574B36"/>
    <w:rsid w:val="5C1336B7"/>
    <w:rsid w:val="5C263CE4"/>
    <w:rsid w:val="5C5D2777"/>
    <w:rsid w:val="5C722D7F"/>
    <w:rsid w:val="5CAC2504"/>
    <w:rsid w:val="5D290C69"/>
    <w:rsid w:val="5DC17CC6"/>
    <w:rsid w:val="5EC56301"/>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94746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3711</Words>
  <Characters>4116</Characters>
  <Lines>161</Lines>
  <Paragraphs>45</Paragraphs>
  <TotalTime>1</TotalTime>
  <ScaleCrop>false</ScaleCrop>
  <LinksUpToDate>false</LinksUpToDate>
  <CharactersWithSpaces>4129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太阳当空照1419478152</cp:lastModifiedBy>
  <dcterms:modified xsi:type="dcterms:W3CDTF">2025-10-17T03:11:25Z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