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重庆市铜梁区双山镇综合行政执法大队</w:t>
      </w:r>
    </w:p>
    <w:p>
      <w:pPr>
        <w:pStyle w:val="5"/>
        <w:shd w:val="clear"/>
        <w:spacing w:before="0" w:beforeAutospacing="0" w:after="0" w:afterAutospacing="0" w:line="596" w:lineRule="exact"/>
        <w:jc w:val="center"/>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color w:val="auto"/>
          <w:sz w:val="32"/>
          <w:szCs w:val="32"/>
          <w:shd w:val="clear" w:color="auto" w:fill="FFFFFF"/>
        </w:rPr>
      </w:pPr>
      <w:r>
        <w:rPr>
          <w:rStyle w:val="8"/>
          <w:rFonts w:ascii="黑体" w:hAnsi="黑体" w:eastAsia="方正黑体_GBK" w:cs="黑体"/>
          <w:b w:val="0"/>
          <w:bCs/>
          <w:color w:val="auto"/>
          <w:sz w:val="32"/>
          <w:szCs w:val="32"/>
          <w:shd w:val="clear" w:color="auto" w:fill="FFFFFF"/>
        </w:rPr>
        <w:t>一、</w:t>
      </w:r>
      <w:r>
        <w:rPr>
          <w:rStyle w:val="8"/>
          <w:rFonts w:hint="eastAsia" w:ascii="黑体" w:hAnsi="黑体" w:eastAsia="方正黑体_GBK" w:cs="黑体"/>
          <w:b w:val="0"/>
          <w:bCs/>
          <w:color w:val="auto"/>
          <w:sz w:val="32"/>
          <w:szCs w:val="32"/>
          <w:shd w:val="clear" w:color="auto" w:fill="FFFFFF"/>
          <w:lang w:eastAsia="zh-CN"/>
        </w:rPr>
        <w:t>单位</w:t>
      </w:r>
      <w:r>
        <w:rPr>
          <w:rStyle w:val="8"/>
          <w:rFonts w:ascii="黑体" w:hAnsi="黑体" w:eastAsia="方正黑体_GBK" w:cs="黑体"/>
          <w:b w:val="0"/>
          <w:bCs/>
          <w:color w:val="auto"/>
          <w:sz w:val="32"/>
          <w:szCs w:val="32"/>
          <w:shd w:val="clear" w:color="auto" w:fill="FFFFFF"/>
        </w:rPr>
        <w:t>基本情况</w:t>
      </w:r>
    </w:p>
    <w:p>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Style w:val="8"/>
          <w:rFonts w:ascii="楷体" w:hAnsi="楷体" w:eastAsia="方正楷体_GBK" w:cs="楷体"/>
          <w:b w:val="0"/>
          <w:bCs/>
          <w:color w:val="auto"/>
          <w:sz w:val="32"/>
          <w:szCs w:val="32"/>
          <w:shd w:val="clear" w:color="auto" w:fill="FFFFFF"/>
        </w:rPr>
        <w:t>（一）职能职责</w:t>
      </w:r>
    </w:p>
    <w:p>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rPr>
        <w:t>集中行使依法授权或委托的农林水利、规划建设、生态环境保护、卫生健康、文化旅游、民政管理、城市管理、消防、应急管理、交通运输、市场监管、自然资源、住房城乡建设等领域的行政执法权。协调、配合区级有关</w:t>
      </w:r>
      <w:r>
        <w:rPr>
          <w:rFonts w:hint="eastAsia" w:ascii="方正仿宋_GBK" w:hAnsi="方正仿宋_GBK" w:eastAsia="方正仿宋_GBK" w:cs="方正仿宋_GBK"/>
          <w:b w:val="0"/>
          <w:bCs/>
          <w:color w:val="auto"/>
          <w:sz w:val="32"/>
          <w:szCs w:val="32"/>
          <w:shd w:val="clear" w:color="auto" w:fill="FFFFFF"/>
          <w:lang w:eastAsia="zh-CN"/>
        </w:rPr>
        <w:t>单位</w:t>
      </w:r>
      <w:r>
        <w:rPr>
          <w:rFonts w:hint="eastAsia" w:ascii="方正仿宋_GBK" w:hAnsi="方正仿宋_GBK" w:eastAsia="方正仿宋_GBK" w:cs="方正仿宋_GBK"/>
          <w:b w:val="0"/>
          <w:bCs/>
          <w:color w:val="auto"/>
          <w:sz w:val="32"/>
          <w:szCs w:val="32"/>
          <w:shd w:val="clear" w:color="auto" w:fill="FFFFFF"/>
        </w:rPr>
        <w:t>及派驻机构开展联合执法。</w:t>
      </w:r>
    </w:p>
    <w:p>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shd w:val="clear" w:color="auto" w:fill="FFFFFF"/>
          <w:lang w:val="en-US" w:eastAsia="zh-CN"/>
        </w:rPr>
      </w:pPr>
      <w:r>
        <w:rPr>
          <w:rFonts w:hint="eastAsia" w:ascii="方正楷体_GBK" w:hAnsi="方正楷体_GBK" w:eastAsia="方正楷体_GBK" w:cs="方正楷体_GBK"/>
          <w:b w:val="0"/>
          <w:bCs/>
          <w:color w:val="auto"/>
          <w:sz w:val="32"/>
          <w:szCs w:val="32"/>
          <w:shd w:val="clear" w:color="auto" w:fill="FFFFFF"/>
          <w:lang w:eastAsia="zh-CN"/>
        </w:rPr>
        <w:t>（</w:t>
      </w:r>
      <w:r>
        <w:rPr>
          <w:rFonts w:hint="eastAsia" w:ascii="方正楷体_GBK" w:hAnsi="方正楷体_GBK" w:eastAsia="方正楷体_GBK" w:cs="方正楷体_GBK"/>
          <w:b w:val="0"/>
          <w:bCs/>
          <w:color w:val="auto"/>
          <w:sz w:val="32"/>
          <w:szCs w:val="32"/>
          <w:shd w:val="clear" w:color="auto" w:fill="FFFFFF"/>
          <w:lang w:val="en-US" w:eastAsia="zh-CN"/>
        </w:rPr>
        <w:t>二</w:t>
      </w:r>
      <w:r>
        <w:rPr>
          <w:rFonts w:hint="eastAsia" w:ascii="方正楷体_GBK" w:hAnsi="方正楷体_GBK" w:eastAsia="方正楷体_GBK" w:cs="方正楷体_GBK"/>
          <w:b w:val="0"/>
          <w:bCs/>
          <w:color w:val="auto"/>
          <w:sz w:val="32"/>
          <w:szCs w:val="32"/>
          <w:shd w:val="clear" w:color="auto" w:fill="FFFFFF"/>
          <w:lang w:eastAsia="zh-CN"/>
        </w:rPr>
        <w:t>）</w:t>
      </w:r>
      <w:r>
        <w:rPr>
          <w:rFonts w:hint="eastAsia" w:ascii="方正楷体_GBK" w:hAnsi="方正楷体_GBK" w:eastAsia="方正楷体_GBK" w:cs="方正楷体_GBK"/>
          <w:b w:val="0"/>
          <w:bCs/>
          <w:color w:val="auto"/>
          <w:sz w:val="32"/>
          <w:szCs w:val="32"/>
          <w:shd w:val="clear" w:color="auto" w:fill="FFFFFF"/>
          <w:lang w:val="en-US" w:eastAsia="zh-CN"/>
        </w:rPr>
        <w:t>机构设置</w:t>
      </w:r>
    </w:p>
    <w:p>
      <w:pPr>
        <w:pStyle w:val="5"/>
        <w:keepNext w:val="0"/>
        <w:keepLines w:val="0"/>
        <w:pageBreakBefore w:val="0"/>
        <w:widowControl w:val="0"/>
        <w:shd w:val="clear"/>
        <w:kinsoku/>
        <w:wordWrap/>
        <w:overflowPunct/>
        <w:topLinePunct w:val="0"/>
        <w:autoSpaceDE w:val="0"/>
        <w:autoSpaceDN w:val="0"/>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lang w:val="en-US" w:eastAsia="zh-CN"/>
        </w:rPr>
      </w:pPr>
      <w:r>
        <w:rPr>
          <w:rFonts w:hint="default" w:ascii="方正仿宋_GBK" w:hAnsi="方正仿宋_GBK" w:eastAsia="方正仿宋_GBK" w:cs="方正仿宋_GBK"/>
          <w:b w:val="0"/>
          <w:bCs/>
          <w:color w:val="auto"/>
          <w:sz w:val="32"/>
          <w:szCs w:val="32"/>
          <w:shd w:val="clear" w:color="auto" w:fill="FFFFFF"/>
          <w:lang w:val="en-US" w:eastAsia="zh-CN"/>
        </w:rPr>
        <w:t>本单位是经重庆市</w:t>
      </w:r>
      <w:r>
        <w:rPr>
          <w:rFonts w:hint="eastAsia" w:ascii="方正仿宋_GBK" w:hAnsi="方正仿宋_GBK" w:eastAsia="方正仿宋_GBK" w:cs="方正仿宋_GBK"/>
          <w:b w:val="0"/>
          <w:bCs/>
          <w:color w:val="auto"/>
          <w:sz w:val="32"/>
          <w:szCs w:val="32"/>
          <w:shd w:val="clear" w:color="auto" w:fill="FFFFFF"/>
          <w:lang w:val="en-US" w:eastAsia="zh-CN"/>
        </w:rPr>
        <w:t>铜梁</w:t>
      </w:r>
      <w:r>
        <w:rPr>
          <w:rFonts w:hint="default" w:ascii="方正仿宋_GBK" w:hAnsi="方正仿宋_GBK" w:eastAsia="方正仿宋_GBK" w:cs="方正仿宋_GBK"/>
          <w:b w:val="0"/>
          <w:bCs/>
          <w:color w:val="auto"/>
          <w:sz w:val="32"/>
          <w:szCs w:val="32"/>
          <w:shd w:val="clear" w:color="auto" w:fill="FFFFFF"/>
          <w:lang w:val="en-US" w:eastAsia="zh-CN"/>
        </w:rPr>
        <w:t>区机构编制委员会批准设立的财政全额补助公益一类事业单位，隶属于重庆市</w:t>
      </w:r>
      <w:r>
        <w:rPr>
          <w:rFonts w:hint="eastAsia" w:ascii="方正仿宋_GBK" w:hAnsi="方正仿宋_GBK" w:eastAsia="方正仿宋_GBK" w:cs="方正仿宋_GBK"/>
          <w:b w:val="0"/>
          <w:bCs/>
          <w:color w:val="auto"/>
          <w:sz w:val="32"/>
          <w:szCs w:val="32"/>
          <w:shd w:val="clear" w:color="auto" w:fill="FFFFFF"/>
          <w:lang w:val="en-US" w:eastAsia="zh-CN"/>
        </w:rPr>
        <w:t>铜梁</w:t>
      </w:r>
      <w:r>
        <w:rPr>
          <w:rFonts w:hint="default" w:ascii="方正仿宋_GBK" w:hAnsi="方正仿宋_GBK" w:eastAsia="方正仿宋_GBK" w:cs="方正仿宋_GBK"/>
          <w:b w:val="0"/>
          <w:bCs/>
          <w:color w:val="auto"/>
          <w:sz w:val="32"/>
          <w:szCs w:val="32"/>
          <w:shd w:val="clear" w:color="auto" w:fill="FFFFFF"/>
          <w:lang w:val="en-US" w:eastAsia="zh-CN"/>
        </w:rPr>
        <w:t>区</w:t>
      </w:r>
      <w:r>
        <w:rPr>
          <w:rFonts w:hint="eastAsia" w:ascii="方正仿宋_GBK" w:hAnsi="方正仿宋_GBK" w:eastAsia="方正仿宋_GBK" w:cs="方正仿宋_GBK"/>
          <w:b w:val="0"/>
          <w:bCs/>
          <w:color w:val="auto"/>
          <w:sz w:val="32"/>
          <w:szCs w:val="32"/>
          <w:shd w:val="clear" w:color="auto" w:fill="FFFFFF"/>
          <w:lang w:val="en-US" w:eastAsia="zh-CN"/>
        </w:rPr>
        <w:t>双山</w:t>
      </w:r>
      <w:r>
        <w:rPr>
          <w:rFonts w:hint="default" w:ascii="方正仿宋_GBK" w:hAnsi="方正仿宋_GBK" w:eastAsia="方正仿宋_GBK" w:cs="方正仿宋_GBK"/>
          <w:b w:val="0"/>
          <w:bCs/>
          <w:color w:val="auto"/>
          <w:sz w:val="32"/>
          <w:szCs w:val="32"/>
          <w:shd w:val="clear" w:color="auto" w:fill="FFFFFF"/>
          <w:lang w:val="en-US" w:eastAsia="zh-CN"/>
        </w:rPr>
        <w:t>镇人民政府管理</w:t>
      </w:r>
      <w:r>
        <w:rPr>
          <w:rFonts w:hint="eastAsia" w:ascii="方正仿宋_GBK" w:hAnsi="方正仿宋_GBK" w:eastAsia="方正仿宋_GBK" w:cs="方正仿宋_GBK"/>
          <w:b w:val="0"/>
          <w:bCs/>
          <w:color w:val="auto"/>
          <w:sz w:val="32"/>
          <w:szCs w:val="32"/>
          <w:shd w:val="clear" w:color="auto" w:fill="FFFFFF"/>
          <w:lang w:val="en-US" w:eastAsia="zh-CN"/>
        </w:rPr>
        <w:t>。</w:t>
      </w:r>
    </w:p>
    <w:p>
      <w:pPr>
        <w:pStyle w:val="5"/>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黑体" w:hAnsi="黑体" w:eastAsia="方正黑体_GBK" w:cs="黑体"/>
          <w:b w:val="0"/>
          <w:bCs/>
          <w:color w:val="auto"/>
          <w:sz w:val="32"/>
          <w:szCs w:val="32"/>
          <w:shd w:val="clear" w:color="auto" w:fill="FFFFFF"/>
        </w:rPr>
      </w:pPr>
      <w:r>
        <w:rPr>
          <w:rStyle w:val="8"/>
          <w:rFonts w:ascii="黑体" w:hAnsi="黑体" w:eastAsia="方正黑体_GBK" w:cs="黑体"/>
          <w:b w:val="0"/>
          <w:bCs/>
          <w:color w:val="auto"/>
          <w:sz w:val="32"/>
          <w:szCs w:val="32"/>
          <w:shd w:val="clear" w:color="auto" w:fill="FFFFFF"/>
        </w:rPr>
        <w:t>二、</w:t>
      </w:r>
      <w:r>
        <w:rPr>
          <w:rStyle w:val="8"/>
          <w:rFonts w:hint="eastAsia" w:ascii="黑体" w:hAnsi="黑体" w:eastAsia="方正黑体_GBK" w:cs="黑体"/>
          <w:b w:val="0"/>
          <w:bCs/>
          <w:color w:val="auto"/>
          <w:sz w:val="32"/>
          <w:szCs w:val="32"/>
          <w:shd w:val="clear" w:color="auto" w:fill="FFFFFF"/>
          <w:lang w:eastAsia="zh-CN"/>
        </w:rPr>
        <w:t>单位</w:t>
      </w:r>
      <w:r>
        <w:rPr>
          <w:rStyle w:val="8"/>
          <w:rFonts w:ascii="黑体" w:hAnsi="黑体" w:eastAsia="方正黑体_GBK" w:cs="黑体"/>
          <w:b w:val="0"/>
          <w:bCs/>
          <w:color w:val="auto"/>
          <w:sz w:val="32"/>
          <w:szCs w:val="32"/>
          <w:shd w:val="clear" w:color="auto" w:fill="FFFFFF"/>
        </w:rPr>
        <w:t>决算</w:t>
      </w:r>
      <w:r>
        <w:rPr>
          <w:rStyle w:val="8"/>
          <w:rFonts w:hint="eastAsia" w:ascii="黑体" w:hAnsi="黑体" w:eastAsia="方正黑体_GBK" w:cs="黑体"/>
          <w:b w:val="0"/>
          <w:bCs/>
          <w:color w:val="auto"/>
          <w:sz w:val="32"/>
          <w:szCs w:val="32"/>
          <w:shd w:val="clear" w:color="auto" w:fill="FFFFFF"/>
          <w:lang w:eastAsia="zh-CN"/>
        </w:rPr>
        <w:t>收支</w:t>
      </w:r>
      <w:r>
        <w:rPr>
          <w:rStyle w:val="8"/>
          <w:rFonts w:ascii="黑体" w:hAnsi="黑体" w:eastAsia="方正黑体_GBK" w:cs="黑体"/>
          <w:b w:val="0"/>
          <w:bCs/>
          <w:color w:val="auto"/>
          <w:sz w:val="32"/>
          <w:szCs w:val="32"/>
          <w:shd w:val="clear" w:color="auto" w:fill="FFFFFF"/>
        </w:rPr>
        <w:t>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（一）收入支出决算总体情况说明。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color w:val="auto"/>
          <w:sz w:val="32"/>
          <w:szCs w:val="32"/>
          <w:shd w:val="clear" w:color="auto" w:fill="FFFFFF"/>
        </w:rPr>
        <w:t>1.总体情况。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度收入总计88.34万元，支出总计</w:t>
      </w:r>
      <w:r>
        <w:rPr>
          <w:rFonts w:ascii="方正仿宋_GBK" w:hAnsi="方正仿宋_GBK" w:eastAsia="方正仿宋_GBK" w:cs="方正仿宋_GBK"/>
          <w:b w:val="0"/>
          <w:bCs/>
          <w:color w:val="auto"/>
          <w:sz w:val="32"/>
          <w:szCs w:val="32"/>
        </w:rPr>
        <w:t>88.34</w:t>
      </w:r>
      <w:r>
        <w:rPr>
          <w:rFonts w:ascii="方正仿宋_GBK" w:hAnsi="方正仿宋_GBK" w:eastAsia="方正仿宋_GBK" w:cs="方正仿宋_GBK"/>
          <w:b w:val="0"/>
          <w:bCs/>
          <w:color w:val="auto"/>
          <w:sz w:val="32"/>
          <w:szCs w:val="32"/>
          <w:shd w:val="clear" w:color="auto" w:fill="FFFFFF"/>
        </w:rPr>
        <w:t>万元。收、支与2023年度相比，增加88.34万元，增长100.0%，主要原因是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rPr>
      </w:pPr>
      <w:r>
        <w:rPr>
          <w:rStyle w:val="8"/>
          <w:rFonts w:ascii="方正仿宋_GBK" w:hAnsi="方正仿宋_GBK" w:eastAsia="方正仿宋_GBK" w:cs="方正仿宋_GBK"/>
          <w:b w:val="0"/>
          <w:bCs/>
          <w:color w:val="auto"/>
          <w:sz w:val="32"/>
          <w:szCs w:val="32"/>
          <w:shd w:val="clear" w:color="auto" w:fill="FFFFFF"/>
        </w:rPr>
        <w:t>2.收入情况。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度收入合计88.34万元，与2023年度相比，增加88.34万元，增长100.0%，主要原因是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。其中：财政拨款收入</w:t>
      </w:r>
      <w:r>
        <w:rPr>
          <w:rFonts w:ascii="方正仿宋_GBK" w:hAnsi="方正仿宋_GBK" w:eastAsia="方正仿宋_GBK" w:cs="方正仿宋_GBK"/>
          <w:b w:val="0"/>
          <w:bCs/>
          <w:color w:val="auto"/>
          <w:sz w:val="32"/>
          <w:szCs w:val="32"/>
        </w:rPr>
        <w:t>88.34</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100.00</w:t>
      </w:r>
      <w:r>
        <w:rPr>
          <w:rFonts w:ascii="方正仿宋_GBK" w:hAnsi="方正仿宋_GBK" w:eastAsia="方正仿宋_GBK" w:cs="方正仿宋_GBK"/>
          <w:b w:val="0"/>
          <w:bCs/>
          <w:color w:val="auto"/>
          <w:sz w:val="32"/>
          <w:szCs w:val="32"/>
          <w:shd w:val="clear" w:color="auto" w:fill="FFFFFF"/>
        </w:rPr>
        <w:t>%；事业收入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万元，占0.00%；经营收入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万元，占0.00%；其他收入</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万元，占0.00%。此外，使用非财政拨款结余和专用结余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万元，年初结转和结余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shd w:val="clear" w:color="auto" w:fill="FFFFFF"/>
        </w:rPr>
      </w:pPr>
      <w:r>
        <w:rPr>
          <w:rStyle w:val="8"/>
          <w:rFonts w:ascii="方正仿宋_GBK" w:hAnsi="方正仿宋_GBK" w:eastAsia="方正仿宋_GBK" w:cs="方正仿宋_GBK"/>
          <w:b w:val="0"/>
          <w:bCs/>
          <w:color w:val="auto"/>
          <w:sz w:val="32"/>
          <w:szCs w:val="32"/>
          <w:shd w:val="clear" w:color="auto" w:fill="FFFFFF"/>
        </w:rPr>
        <w:t>3.支出情况。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度支出合计</w:t>
      </w:r>
      <w:r>
        <w:rPr>
          <w:rFonts w:ascii="方正仿宋_GBK" w:hAnsi="方正仿宋_GBK" w:eastAsia="方正仿宋_GBK" w:cs="方正仿宋_GBK"/>
          <w:b w:val="0"/>
          <w:bCs/>
          <w:color w:val="auto"/>
          <w:sz w:val="32"/>
          <w:szCs w:val="32"/>
        </w:rPr>
        <w:t>88.34</w:t>
      </w:r>
      <w:r>
        <w:rPr>
          <w:rFonts w:ascii="方正仿宋_GBK" w:hAnsi="方正仿宋_GBK" w:eastAsia="方正仿宋_GBK" w:cs="方正仿宋_GBK"/>
          <w:b w:val="0"/>
          <w:bCs/>
          <w:color w:val="auto"/>
          <w:sz w:val="32"/>
          <w:szCs w:val="32"/>
          <w:shd w:val="clear" w:color="auto" w:fill="FFFFFF"/>
        </w:rPr>
        <w:t>万元，与2023年度相比，增加88.34万元，增长100.0%，主要原因是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。其中：基本支出</w:t>
      </w:r>
      <w:r>
        <w:rPr>
          <w:rFonts w:ascii="方正仿宋_GBK" w:hAnsi="方正仿宋_GBK" w:eastAsia="方正仿宋_GBK" w:cs="方正仿宋_GBK"/>
          <w:b w:val="0"/>
          <w:bCs/>
          <w:color w:val="auto"/>
          <w:sz w:val="32"/>
          <w:szCs w:val="32"/>
        </w:rPr>
        <w:t>78.94</w:t>
      </w:r>
      <w:r>
        <w:rPr>
          <w:rFonts w:ascii="方正仿宋_GBK" w:hAnsi="方正仿宋_GBK" w:eastAsia="方正仿宋_GBK" w:cs="方正仿宋_GBK"/>
          <w:b w:val="0"/>
          <w:bCs/>
          <w:color w:val="auto"/>
          <w:sz w:val="32"/>
          <w:szCs w:val="32"/>
          <w:shd w:val="clear" w:color="auto" w:fill="FFFFFF"/>
        </w:rPr>
        <w:t>万元，占89.36%；项目支出</w:t>
      </w:r>
      <w:r>
        <w:rPr>
          <w:rFonts w:ascii="方正仿宋_GBK" w:hAnsi="方正仿宋_GBK" w:eastAsia="方正仿宋_GBK" w:cs="方正仿宋_GBK"/>
          <w:b w:val="0"/>
          <w:bCs/>
          <w:color w:val="auto"/>
          <w:sz w:val="32"/>
          <w:szCs w:val="32"/>
        </w:rPr>
        <w:t>9.40</w:t>
      </w:r>
      <w:r>
        <w:rPr>
          <w:rFonts w:ascii="方正仿宋_GBK" w:hAnsi="方正仿宋_GBK" w:eastAsia="方正仿宋_GBK" w:cs="方正仿宋_GBK"/>
          <w:b w:val="0"/>
          <w:bCs/>
          <w:color w:val="auto"/>
          <w:sz w:val="32"/>
          <w:szCs w:val="32"/>
          <w:shd w:val="clear" w:color="auto" w:fill="FFFFFF"/>
        </w:rPr>
        <w:t>万元，占10.64%；经营支出</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万元，占0.00%。此外，结余分配</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color w:val="auto"/>
          <w:sz w:val="32"/>
          <w:szCs w:val="32"/>
          <w:shd w:val="clear" w:color="auto" w:fill="FFFFFF"/>
        </w:rPr>
        <w:t>4.结转结余情况。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度年末结转和结余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万元，与2023年度相比，无增减。</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（二）财政拨款收入支出决算总体情况说明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度财政拨款收、支总计88.34万元。与202</w:t>
      </w:r>
      <w:r>
        <w:rPr>
          <w:rFonts w:hint="eastAsia" w:ascii="方正仿宋_GBK" w:hAnsi="方正仿宋_GBK" w:eastAsia="方正仿宋_GBK" w:cs="方正仿宋_GBK"/>
          <w:b w:val="0"/>
          <w:bCs/>
          <w:color w:val="auto"/>
          <w:sz w:val="32"/>
          <w:szCs w:val="32"/>
          <w:shd w:val="clear" w:color="auto" w:fill="FFFFFF"/>
          <w:lang w:val="en-US" w:eastAsia="zh-CN"/>
        </w:rPr>
        <w:t>3</w:t>
      </w:r>
      <w:r>
        <w:rPr>
          <w:rFonts w:ascii="方正仿宋_GBK" w:hAnsi="方正仿宋_GBK" w:eastAsia="方正仿宋_GBK" w:cs="方正仿宋_GBK"/>
          <w:b w:val="0"/>
          <w:bCs/>
          <w:color w:val="auto"/>
          <w:sz w:val="32"/>
          <w:szCs w:val="32"/>
          <w:shd w:val="clear" w:color="auto" w:fill="FFFFFF"/>
        </w:rPr>
        <w:t>年相比，财政拨款收、支总计各增加88.34万元，增长100.0%。主要原因是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（三）一般公共预算财政拨款收入支出决算情况说明</w:t>
      </w:r>
    </w:p>
    <w:p>
      <w:pPr>
        <w:pStyle w:val="5"/>
        <w:keepNext w:val="0"/>
        <w:keepLines w:val="0"/>
        <w:pageBreakBefore w:val="0"/>
        <w:widowControl w:val="0"/>
        <w:shd w:val="clear"/>
        <w:kinsoku/>
        <w:wordWrap/>
        <w:overflowPunct/>
        <w:topLinePunct w:val="0"/>
        <w:bidi w:val="0"/>
        <w:adjustRightInd/>
        <w:spacing w:beforeAutospacing="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color w:val="auto"/>
          <w:sz w:val="32"/>
          <w:szCs w:val="32"/>
          <w:shd w:val="clear" w:color="auto" w:fill="FFFFFF"/>
        </w:rPr>
        <w:t>1.收入情况。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度一般公共预算财政拨款收入</w:t>
      </w:r>
      <w:r>
        <w:rPr>
          <w:rFonts w:ascii="方正仿宋_GBK" w:hAnsi="方正仿宋_GBK" w:eastAsia="方正仿宋_GBK" w:cs="方正仿宋_GBK"/>
          <w:b w:val="0"/>
          <w:bCs/>
          <w:color w:val="auto"/>
          <w:sz w:val="32"/>
          <w:szCs w:val="32"/>
        </w:rPr>
        <w:t>88.34</w:t>
      </w:r>
      <w:r>
        <w:rPr>
          <w:rFonts w:ascii="方正仿宋_GBK" w:hAnsi="方正仿宋_GBK" w:eastAsia="方正仿宋_GBK" w:cs="方正仿宋_GBK"/>
          <w:b w:val="0"/>
          <w:bCs/>
          <w:color w:val="auto"/>
          <w:sz w:val="32"/>
          <w:szCs w:val="32"/>
          <w:shd w:val="clear" w:color="auto" w:fill="FFFFFF"/>
        </w:rPr>
        <w:t>万元，与2023年度相比，增加88.34万元，增长100.0%。主要原因是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。较年初预算数减少10.74万元，下降10.8%。主要原因是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。此外，年初财政拨款结转和结余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Style w:val="8"/>
          <w:rFonts w:ascii="方正仿宋_GBK" w:hAnsi="方正仿宋_GBK" w:eastAsia="方正仿宋_GBK" w:cs="方正仿宋_GBK"/>
          <w:b w:val="0"/>
          <w:bCs/>
          <w:color w:val="auto"/>
          <w:sz w:val="32"/>
          <w:szCs w:val="32"/>
          <w:shd w:val="clear" w:color="auto" w:fill="FFFFFF"/>
        </w:rPr>
        <w:t>2.支出情况。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度一般公共预算财政拨款支出</w:t>
      </w:r>
      <w:r>
        <w:rPr>
          <w:rFonts w:ascii="方正仿宋_GBK" w:hAnsi="方正仿宋_GBK" w:eastAsia="方正仿宋_GBK" w:cs="方正仿宋_GBK"/>
          <w:b w:val="0"/>
          <w:bCs/>
          <w:color w:val="auto"/>
          <w:sz w:val="32"/>
          <w:szCs w:val="32"/>
        </w:rPr>
        <w:t>88.34</w:t>
      </w:r>
      <w:r>
        <w:rPr>
          <w:rFonts w:ascii="方正仿宋_GBK" w:hAnsi="方正仿宋_GBK" w:eastAsia="方正仿宋_GBK" w:cs="方正仿宋_GBK"/>
          <w:b w:val="0"/>
          <w:bCs/>
          <w:color w:val="auto"/>
          <w:sz w:val="32"/>
          <w:szCs w:val="32"/>
          <w:shd w:val="clear" w:color="auto" w:fill="FFFFFF"/>
        </w:rPr>
        <w:t>万元，与2023年度相比，增加88.34万元，增长100.0%。主要原因是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较年初预算数减少10.74万元，下降10.8%。主要原因是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r>
        <w:rPr>
          <w:rFonts w:hint="eastAsia" w:ascii="方正仿宋_GBK" w:hAnsi="方正仿宋_GBK" w:eastAsia="方正仿宋_GBK" w:cs="方正仿宋_GBK"/>
          <w:b w:val="0"/>
          <w:bCs/>
          <w:color w:val="auto"/>
          <w:sz w:val="32"/>
          <w:szCs w:val="32"/>
          <w:shd w:val="clear" w:color="auto" w:fill="FFFFFF"/>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Style w:val="8"/>
          <w:rFonts w:ascii="方正仿宋_GBK" w:hAnsi="方正仿宋_GBK" w:eastAsia="方正仿宋_GBK" w:cs="方正仿宋_GBK"/>
          <w:b w:val="0"/>
          <w:bCs/>
          <w:color w:val="auto"/>
          <w:sz w:val="32"/>
          <w:szCs w:val="32"/>
          <w:shd w:val="clear" w:color="auto" w:fill="FFFFFF"/>
        </w:rPr>
        <w:t>3.结转结余情况。</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度年末一般公共预算财政拨款结转和结余</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万元，与2023年度相比，无增减</w:t>
      </w:r>
      <w:r>
        <w:rPr>
          <w:rFonts w:hint="eastAsia" w:ascii="方正仿宋_GBK" w:hAnsi="方正仿宋_GBK" w:eastAsia="方正仿宋_GBK" w:cs="方正仿宋_GBK"/>
          <w:b w:val="0"/>
          <w:bCs/>
          <w:color w:val="auto"/>
          <w:sz w:val="32"/>
          <w:szCs w:val="32"/>
          <w:shd w:val="clear" w:color="auto" w:fill="FFFFFF"/>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Style w:val="8"/>
          <w:rFonts w:ascii="方正仿宋_GBK" w:hAnsi="方正仿宋_GBK" w:eastAsia="方正仿宋_GBK" w:cs="方正仿宋_GBK"/>
          <w:b w:val="0"/>
          <w:bCs/>
          <w:color w:val="auto"/>
          <w:sz w:val="32"/>
          <w:szCs w:val="32"/>
          <w:shd w:val="clear" w:color="auto" w:fill="FFFFFF"/>
        </w:rPr>
        <w:t xml:space="preserve"> 4.比较情况。</w:t>
      </w:r>
      <w:r>
        <w:rPr>
          <w:rFonts w:ascii="方正仿宋_GBK" w:hAnsi="方正仿宋_GBK" w:eastAsia="方正仿宋_GBK" w:cs="方正仿宋_GBK"/>
          <w:b w:val="0"/>
          <w:bCs/>
          <w:color w:val="auto"/>
          <w:sz w:val="32"/>
          <w:szCs w:val="32"/>
          <w:shd w:val="clear" w:color="auto" w:fill="FFFFFF"/>
        </w:rPr>
        <w:t>本</w:t>
      </w:r>
      <w:r>
        <w:rPr>
          <w:rFonts w:hint="eastAsia" w:ascii="方正仿宋_GBK" w:hAnsi="方正仿宋_GBK" w:eastAsia="方正仿宋_GBK" w:cs="方正仿宋_GBK"/>
          <w:b w:val="0"/>
          <w:bCs/>
          <w:color w:val="auto"/>
          <w:sz w:val="32"/>
          <w:szCs w:val="32"/>
          <w:shd w:val="clear" w:color="auto" w:fill="FFFFFF"/>
          <w:lang w:eastAsia="zh-CN"/>
        </w:rPr>
        <w:t>单位2024年</w:t>
      </w:r>
      <w:r>
        <w:rPr>
          <w:rFonts w:ascii="方正仿宋_GBK" w:hAnsi="方正仿宋_GBK" w:eastAsia="方正仿宋_GBK" w:cs="方正仿宋_GBK"/>
          <w:b w:val="0"/>
          <w:bCs/>
          <w:color w:val="auto"/>
          <w:sz w:val="32"/>
          <w:szCs w:val="32"/>
          <w:shd w:val="clear" w:color="auto" w:fill="FFFFFF"/>
        </w:rPr>
        <w:t>度一般公共预算财政拨款支出主要用于以下几个方面：</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（1）一般公共服务支出</w:t>
      </w:r>
      <w:r>
        <w:rPr>
          <w:rFonts w:ascii="方正仿宋_GBK" w:hAnsi="方正仿宋_GBK" w:eastAsia="方正仿宋_GBK" w:cs="方正仿宋_GBK"/>
          <w:b w:val="0"/>
          <w:bCs/>
          <w:color w:val="auto"/>
          <w:sz w:val="32"/>
          <w:szCs w:val="32"/>
        </w:rPr>
        <w:t>74.85</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84.73</w:t>
      </w:r>
      <w:r>
        <w:rPr>
          <w:rFonts w:ascii="方正仿宋_GBK" w:hAnsi="方正仿宋_GBK" w:eastAsia="方正仿宋_GBK" w:cs="方正仿宋_GBK"/>
          <w:b w:val="0"/>
          <w:bCs/>
          <w:color w:val="auto"/>
          <w:sz w:val="32"/>
          <w:szCs w:val="32"/>
          <w:shd w:val="clear" w:color="auto" w:fill="FFFFFF"/>
        </w:rPr>
        <w:t>%，较年初预算数减少10.01万元，下降11.8%，主要原因是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r>
        <w:rPr>
          <w:rFonts w:hint="eastAsia" w:ascii="方正仿宋_GBK" w:hAnsi="方正仿宋_GBK" w:eastAsia="方正仿宋_GBK" w:cs="方正仿宋_GBK"/>
          <w:b w:val="0"/>
          <w:bCs/>
          <w:color w:val="auto"/>
          <w:sz w:val="32"/>
          <w:szCs w:val="32"/>
          <w:shd w:val="clear" w:color="auto" w:fill="FFFFFF"/>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2</w:t>
      </w:r>
      <w:r>
        <w:rPr>
          <w:rFonts w:ascii="方正仿宋_GBK" w:hAnsi="方正仿宋_GBK" w:eastAsia="方正仿宋_GBK" w:cs="方正仿宋_GBK"/>
          <w:b w:val="0"/>
          <w:bCs/>
          <w:color w:val="auto"/>
          <w:sz w:val="32"/>
          <w:szCs w:val="32"/>
          <w:shd w:val="clear" w:color="auto" w:fill="FFFFFF"/>
        </w:rPr>
        <w:t>）社会保障与就业支出</w:t>
      </w:r>
      <w:r>
        <w:rPr>
          <w:rFonts w:ascii="方正仿宋_GBK" w:hAnsi="方正仿宋_GBK" w:eastAsia="方正仿宋_GBK" w:cs="方正仿宋_GBK"/>
          <w:b w:val="0"/>
          <w:bCs/>
          <w:color w:val="auto"/>
          <w:sz w:val="32"/>
          <w:szCs w:val="32"/>
        </w:rPr>
        <w:t>6.97</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7.88</w:t>
      </w:r>
      <w:r>
        <w:rPr>
          <w:rFonts w:ascii="方正仿宋_GBK" w:hAnsi="方正仿宋_GBK" w:eastAsia="方正仿宋_GBK" w:cs="方正仿宋_GBK"/>
          <w:b w:val="0"/>
          <w:bCs/>
          <w:color w:val="auto"/>
          <w:sz w:val="32"/>
          <w:szCs w:val="32"/>
          <w:shd w:val="clear" w:color="auto" w:fill="FFFFFF"/>
        </w:rPr>
        <w:t>%，较年初预算数无增减</w:t>
      </w:r>
      <w:r>
        <w:rPr>
          <w:rFonts w:hint="eastAsia" w:ascii="方正仿宋_GBK" w:hAnsi="方正仿宋_GBK" w:eastAsia="方正仿宋_GBK" w:cs="方正仿宋_GBK"/>
          <w:b w:val="0"/>
          <w:bCs/>
          <w:color w:val="auto"/>
          <w:sz w:val="32"/>
          <w:szCs w:val="32"/>
          <w:shd w:val="clear" w:color="auto" w:fill="FFFFFF"/>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3</w:t>
      </w:r>
      <w:r>
        <w:rPr>
          <w:rFonts w:ascii="方正仿宋_GBK" w:hAnsi="方正仿宋_GBK" w:eastAsia="方正仿宋_GBK" w:cs="方正仿宋_GBK"/>
          <w:b w:val="0"/>
          <w:bCs/>
          <w:color w:val="auto"/>
          <w:sz w:val="32"/>
          <w:szCs w:val="32"/>
          <w:shd w:val="clear" w:color="auto" w:fill="FFFFFF"/>
        </w:rPr>
        <w:t>）卫生健康支出</w:t>
      </w:r>
      <w:r>
        <w:rPr>
          <w:rFonts w:ascii="方正仿宋_GBK" w:hAnsi="方正仿宋_GBK" w:eastAsia="方正仿宋_GBK" w:cs="方正仿宋_GBK"/>
          <w:b w:val="0"/>
          <w:bCs/>
          <w:color w:val="auto"/>
          <w:sz w:val="32"/>
          <w:szCs w:val="32"/>
        </w:rPr>
        <w:t>3.04</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3.44</w:t>
      </w:r>
      <w:r>
        <w:rPr>
          <w:rFonts w:ascii="方正仿宋_GBK" w:hAnsi="方正仿宋_GBK" w:eastAsia="方正仿宋_GBK" w:cs="方正仿宋_GBK"/>
          <w:b w:val="0"/>
          <w:bCs/>
          <w:color w:val="auto"/>
          <w:sz w:val="32"/>
          <w:szCs w:val="32"/>
          <w:shd w:val="clear" w:color="auto" w:fill="FFFFFF"/>
        </w:rPr>
        <w:t>%，较年初预算数减少0.73万元，下降19.4%，主要原因是</w:t>
      </w:r>
      <w:r>
        <w:rPr>
          <w:rFonts w:hint="eastAsia" w:ascii="方正仿宋_GBK" w:hAnsi="方正仿宋_GBK" w:eastAsia="方正仿宋_GBK" w:cs="方正仿宋_GBK"/>
          <w:b w:val="0"/>
          <w:bCs/>
          <w:color w:val="auto"/>
          <w:sz w:val="32"/>
          <w:szCs w:val="32"/>
          <w:shd w:val="clear" w:color="auto" w:fill="FFFFFF"/>
          <w:lang w:val="en-US" w:eastAsia="zh-CN"/>
        </w:rPr>
        <w:t>财政拨款减少</w:t>
      </w:r>
      <w:r>
        <w:rPr>
          <w:rFonts w:hint="eastAsia" w:ascii="方正仿宋_GBK" w:hAnsi="方正仿宋_GBK" w:eastAsia="方正仿宋_GBK" w:cs="方正仿宋_GBK"/>
          <w:b w:val="0"/>
          <w:bCs/>
          <w:color w:val="auto"/>
          <w:sz w:val="32"/>
          <w:szCs w:val="32"/>
          <w:shd w:val="clear" w:color="auto" w:fill="FFFFFF"/>
        </w:rPr>
        <w:t>。</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w:t>
      </w:r>
      <w:r>
        <w:rPr>
          <w:rFonts w:hint="eastAsia" w:ascii="方正仿宋_GBK" w:hAnsi="方正仿宋_GBK" w:eastAsia="方正仿宋_GBK" w:cs="方正仿宋_GBK"/>
          <w:b w:val="0"/>
          <w:bCs/>
          <w:color w:val="auto"/>
          <w:sz w:val="32"/>
          <w:szCs w:val="32"/>
          <w:shd w:val="clear" w:color="auto" w:fill="FFFFFF"/>
          <w:lang w:val="en-US" w:eastAsia="zh-CN"/>
        </w:rPr>
        <w:t>4</w:t>
      </w:r>
      <w:r>
        <w:rPr>
          <w:rFonts w:ascii="方正仿宋_GBK" w:hAnsi="方正仿宋_GBK" w:eastAsia="方正仿宋_GBK" w:cs="方正仿宋_GBK"/>
          <w:b w:val="0"/>
          <w:bCs/>
          <w:color w:val="auto"/>
          <w:sz w:val="32"/>
          <w:szCs w:val="32"/>
          <w:shd w:val="clear" w:color="auto" w:fill="FFFFFF"/>
        </w:rPr>
        <w:t>）</w:t>
      </w:r>
      <w:r>
        <w:rPr>
          <w:rFonts w:ascii="方正仿宋_GBK" w:hAnsi="方正仿宋_GBK" w:eastAsia="方正仿宋_GBK" w:cs="方正仿宋_GBK"/>
          <w:b w:val="0"/>
          <w:bCs/>
          <w:color w:val="auto"/>
          <w:sz w:val="32"/>
          <w:szCs w:val="32"/>
        </w:rPr>
        <w:t>住房保障支出3.48</w:t>
      </w:r>
      <w:r>
        <w:rPr>
          <w:rFonts w:ascii="方正仿宋_GBK" w:hAnsi="方正仿宋_GBK" w:eastAsia="方正仿宋_GBK" w:cs="方正仿宋_GBK"/>
          <w:b w:val="0"/>
          <w:bCs/>
          <w:color w:val="auto"/>
          <w:sz w:val="32"/>
          <w:szCs w:val="32"/>
          <w:shd w:val="clear" w:color="auto" w:fill="FFFFFF"/>
        </w:rPr>
        <w:t>万元，占</w:t>
      </w:r>
      <w:r>
        <w:rPr>
          <w:rFonts w:ascii="方正仿宋_GBK" w:hAnsi="方正仿宋_GBK" w:eastAsia="方正仿宋_GBK" w:cs="方正仿宋_GBK"/>
          <w:b w:val="0"/>
          <w:bCs/>
          <w:color w:val="auto"/>
          <w:sz w:val="32"/>
          <w:szCs w:val="32"/>
        </w:rPr>
        <w:t>3.94</w:t>
      </w:r>
      <w:r>
        <w:rPr>
          <w:rFonts w:ascii="方正仿宋_GBK" w:hAnsi="方正仿宋_GBK" w:eastAsia="方正仿宋_GBK" w:cs="方正仿宋_GBK"/>
          <w:b w:val="0"/>
          <w:bCs/>
          <w:color w:val="auto"/>
          <w:sz w:val="32"/>
          <w:szCs w:val="32"/>
          <w:shd w:val="clear" w:color="auto" w:fill="FFFFFF"/>
        </w:rPr>
        <w:t>%，较年初预算数无增减</w:t>
      </w:r>
      <w:r>
        <w:rPr>
          <w:rFonts w:hint="eastAsia" w:ascii="方正仿宋_GBK" w:hAnsi="方正仿宋_GBK" w:eastAsia="方正仿宋_GBK" w:cs="方正仿宋_GBK"/>
          <w:b w:val="0"/>
          <w:bCs/>
          <w:color w:val="auto"/>
          <w:sz w:val="32"/>
          <w:szCs w:val="32"/>
          <w:shd w:val="clear" w:color="auto" w:fill="FFFFFF"/>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（四）一般公共预算财政拨款基本支出决算情况说明</w:t>
      </w:r>
    </w:p>
    <w:p>
      <w:pPr>
        <w:pStyle w:val="5"/>
        <w:keepNext w:val="0"/>
        <w:keepLines w:val="0"/>
        <w:pageBreakBefore w:val="0"/>
        <w:widowControl w:val="0"/>
        <w:shd w:val="clear"/>
        <w:kinsoku/>
        <w:wordWrap/>
        <w:overflowPunct/>
        <w:topLinePunct w:val="0"/>
        <w:autoSpaceDE w:val="0"/>
        <w:autoSpaceDN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 </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度一般公共财政拨款基本支出</w:t>
      </w:r>
      <w:r>
        <w:rPr>
          <w:rFonts w:ascii="方正仿宋_GBK" w:hAnsi="方正仿宋_GBK" w:eastAsia="方正仿宋_GBK" w:cs="方正仿宋_GBK"/>
          <w:b w:val="0"/>
          <w:bCs/>
          <w:color w:val="auto"/>
          <w:sz w:val="32"/>
          <w:szCs w:val="32"/>
        </w:rPr>
        <w:t>78.94</w:t>
      </w:r>
      <w:r>
        <w:rPr>
          <w:rFonts w:ascii="方正仿宋_GBK" w:hAnsi="方正仿宋_GBK" w:eastAsia="方正仿宋_GBK" w:cs="方正仿宋_GBK"/>
          <w:b w:val="0"/>
          <w:bCs/>
          <w:color w:val="auto"/>
          <w:sz w:val="32"/>
          <w:szCs w:val="32"/>
          <w:shd w:val="clear" w:color="auto" w:fill="FFFFFF"/>
        </w:rPr>
        <w:t>万元。其中：人员经费</w:t>
      </w:r>
      <w:r>
        <w:rPr>
          <w:rFonts w:ascii="方正仿宋_GBK" w:hAnsi="方正仿宋_GBK" w:eastAsia="方正仿宋_GBK" w:cs="方正仿宋_GBK"/>
          <w:b w:val="0"/>
          <w:bCs/>
          <w:color w:val="auto"/>
          <w:sz w:val="32"/>
          <w:szCs w:val="32"/>
        </w:rPr>
        <w:t>68.03</w:t>
      </w:r>
      <w:r>
        <w:rPr>
          <w:rFonts w:ascii="方正仿宋_GBK" w:hAnsi="方正仿宋_GBK" w:eastAsia="方正仿宋_GBK" w:cs="方正仿宋_GBK"/>
          <w:b w:val="0"/>
          <w:bCs/>
          <w:color w:val="auto"/>
          <w:sz w:val="32"/>
          <w:szCs w:val="32"/>
          <w:shd w:val="clear" w:color="auto" w:fill="FFFFFF"/>
        </w:rPr>
        <w:t>万元，与2023年度相比，增加68.03万元，增长100.0%，主要原因是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人员经费用途主要包括</w:t>
      </w:r>
      <w:r>
        <w:rPr>
          <w:rFonts w:hint="eastAsia" w:ascii="方正仿宋_GBK" w:hAnsi="方正仿宋_GBK" w:eastAsia="方正仿宋_GBK" w:cs="方正仿宋_GBK"/>
          <w:b w:val="0"/>
          <w:bCs/>
          <w:color w:val="auto"/>
          <w:sz w:val="32"/>
          <w:szCs w:val="32"/>
          <w:shd w:val="clear" w:color="auto" w:fill="FFFFFF"/>
          <w:lang w:val="en-US" w:eastAsia="zh-CN"/>
        </w:rPr>
        <w:t>人员工资和五险一金</w:t>
      </w:r>
      <w:r>
        <w:rPr>
          <w:rFonts w:ascii="方正仿宋_GBK" w:hAnsi="方正仿宋_GBK" w:eastAsia="方正仿宋_GBK" w:cs="方正仿宋_GBK"/>
          <w:b w:val="0"/>
          <w:bCs/>
          <w:color w:val="auto"/>
          <w:sz w:val="32"/>
          <w:szCs w:val="32"/>
          <w:shd w:val="clear" w:color="auto" w:fill="FFFFFF"/>
        </w:rPr>
        <w:t>。公用经费</w:t>
      </w:r>
      <w:r>
        <w:rPr>
          <w:rFonts w:ascii="方正仿宋_GBK" w:hAnsi="方正仿宋_GBK" w:eastAsia="方正仿宋_GBK" w:cs="方正仿宋_GBK"/>
          <w:b w:val="0"/>
          <w:bCs/>
          <w:color w:val="auto"/>
          <w:sz w:val="32"/>
          <w:szCs w:val="32"/>
        </w:rPr>
        <w:t>10.91</w:t>
      </w:r>
      <w:r>
        <w:rPr>
          <w:rFonts w:ascii="方正仿宋_GBK" w:hAnsi="方正仿宋_GBK" w:eastAsia="方正仿宋_GBK" w:cs="方正仿宋_GBK"/>
          <w:b w:val="0"/>
          <w:bCs/>
          <w:color w:val="auto"/>
          <w:sz w:val="32"/>
          <w:szCs w:val="32"/>
          <w:shd w:val="clear" w:color="auto" w:fill="FFFFFF"/>
        </w:rPr>
        <w:t>万元，与2023年度相比，增加10.91万元，增长100.0%，主要原因是</w:t>
      </w:r>
      <w:r>
        <w:rPr>
          <w:rFonts w:hint="eastAsia" w:ascii="方正仿宋_GBK" w:hAnsi="方正仿宋_GBK" w:eastAsia="方正仿宋_GBK" w:cs="方正仿宋_GBK"/>
          <w:b w:val="0"/>
          <w:bCs/>
          <w:color w:val="auto"/>
          <w:sz w:val="32"/>
          <w:szCs w:val="32"/>
          <w:shd w:val="clear" w:color="auto" w:fill="FFFFFF"/>
        </w:rPr>
        <w:t>根据财政局要求本年度新增为决算单位。</w:t>
      </w:r>
      <w:r>
        <w:rPr>
          <w:rFonts w:ascii="方正仿宋_GBK" w:hAnsi="方正仿宋_GBK" w:eastAsia="方正仿宋_GBK" w:cs="方正仿宋_GBK"/>
          <w:b w:val="0"/>
          <w:bCs/>
          <w:color w:val="auto"/>
          <w:sz w:val="32"/>
          <w:szCs w:val="32"/>
          <w:shd w:val="clear" w:color="auto" w:fill="FFFFFF"/>
        </w:rPr>
        <w:t>公用经费用途主要包括</w:t>
      </w:r>
      <w:r>
        <w:rPr>
          <w:rFonts w:hint="eastAsia" w:ascii="方正仿宋_GBK" w:hAnsi="方正仿宋_GBK" w:eastAsia="方正仿宋_GBK" w:cs="方正仿宋_GBK"/>
          <w:b w:val="0"/>
          <w:bCs/>
          <w:color w:val="auto"/>
          <w:sz w:val="32"/>
          <w:szCs w:val="32"/>
          <w:shd w:val="clear" w:color="auto" w:fill="FFFFFF"/>
        </w:rPr>
        <w:t>办公费、水费、电费、邮电费、维修（护）费、委托业务费、其他商品服务费</w:t>
      </w:r>
      <w:r>
        <w:rPr>
          <w:rFonts w:ascii="方正仿宋_GBK" w:hAnsi="方正仿宋_GBK" w:eastAsia="方正仿宋_GBK" w:cs="方正仿宋_GBK"/>
          <w:b w:val="0"/>
          <w:bCs/>
          <w:color w:val="auto"/>
          <w:sz w:val="32"/>
          <w:szCs w:val="32"/>
          <w:shd w:val="clear" w:color="auto" w:fill="FFFFFF"/>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（五）政府性基金预算收支决算情况说明</w:t>
      </w:r>
    </w:p>
    <w:p>
      <w:pPr>
        <w:pStyle w:val="9"/>
        <w:keepNext w:val="0"/>
        <w:keepLines w:val="0"/>
        <w:pageBreakBefore w:val="0"/>
        <w:widowControl w:val="0"/>
        <w:numPr>
          <w:ilvl w:val="0"/>
          <w:numId w:val="0"/>
        </w:numPr>
        <w:shd w:val="clear"/>
        <w:kinsoku/>
        <w:wordWrap/>
        <w:overflowPunct/>
        <w:topLinePunct w:val="0"/>
        <w:autoSpaceDE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lang w:val="en-US" w:eastAsia="zh-CN"/>
        </w:rPr>
      </w:pPr>
      <w:r>
        <w:rPr>
          <w:rFonts w:hint="eastAsia" w:ascii="方正仿宋_GBK" w:hAnsi="方正仿宋_GBK" w:eastAsia="方正仿宋_GBK" w:cs="方正仿宋_GBK"/>
          <w:b w:val="0"/>
          <w:bCs/>
          <w:color w:val="auto"/>
          <w:sz w:val="32"/>
          <w:szCs w:val="32"/>
          <w:shd w:val="clear" w:color="auto" w:fill="FFFFFF"/>
          <w:lang w:val="en-US" w:eastAsia="zh-CN"/>
        </w:rPr>
        <w:t>本单位2024年度无政府性基金预算财政拨款收支。</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（六）国有资本经营预算财政拨款支出决算情况说明</w:t>
      </w:r>
    </w:p>
    <w:p>
      <w:pPr>
        <w:pStyle w:val="5"/>
        <w:keepNext w:val="0"/>
        <w:keepLines w:val="0"/>
        <w:pageBreakBefore w:val="0"/>
        <w:widowControl w:val="0"/>
        <w:shd w:val="clea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eastAsia" w:ascii="方正仿宋_GBK" w:hAnsi="方正仿宋_GBK" w:eastAsia="方正仿宋_GBK" w:cs="方正仿宋_GBK"/>
          <w:b w:val="0"/>
          <w:bCs/>
          <w:color w:val="auto"/>
          <w:sz w:val="32"/>
          <w:szCs w:val="32"/>
          <w:shd w:val="clear" w:color="auto" w:fill="FFFFFF"/>
          <w:lang w:val="en-US" w:eastAsia="zh-CN"/>
        </w:rPr>
        <w:t>本单位2024年度无国有资本经营预算财政拨款支出。</w:t>
      </w:r>
    </w:p>
    <w:p>
      <w:pPr>
        <w:pStyle w:val="5"/>
        <w:keepNext w:val="0"/>
        <w:keepLines w:val="0"/>
        <w:pageBreakBefore w:val="0"/>
        <w:widowControl w:val="0"/>
        <w:numPr>
          <w:ilvl w:val="0"/>
          <w:numId w:val="1"/>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ascii="黑体" w:hAnsi="黑体" w:eastAsia="方正黑体_GBK" w:cs="黑体"/>
          <w:b w:val="0"/>
          <w:bCs/>
          <w:color w:val="auto"/>
          <w:sz w:val="32"/>
          <w:szCs w:val="32"/>
          <w:shd w:val="clear" w:color="auto" w:fill="FFFFFF"/>
        </w:rPr>
      </w:pPr>
      <w:r>
        <w:rPr>
          <w:rStyle w:val="8"/>
          <w:rFonts w:hint="eastAsia" w:ascii="黑体" w:hAnsi="黑体" w:eastAsia="方正黑体_GBK" w:cs="黑体"/>
          <w:b w:val="0"/>
          <w:bCs/>
          <w:color w:val="auto"/>
          <w:sz w:val="32"/>
          <w:szCs w:val="32"/>
          <w:shd w:val="clear" w:color="auto" w:fill="FFFFFF"/>
          <w:lang w:eastAsia="zh-CN"/>
        </w:rPr>
        <w:t>财政拨款</w:t>
      </w:r>
      <w:r>
        <w:rPr>
          <w:rStyle w:val="8"/>
          <w:rFonts w:ascii="黑体" w:hAnsi="黑体" w:eastAsia="方正黑体_GBK" w:cs="黑体"/>
          <w:b w:val="0"/>
          <w:bCs/>
          <w:color w:val="auto"/>
          <w:sz w:val="32"/>
          <w:szCs w:val="32"/>
          <w:shd w:val="clear" w:color="auto" w:fill="FFFFFF"/>
        </w:rPr>
        <w:t>“三公”经费情况说明</w:t>
      </w:r>
    </w:p>
    <w:p>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（一）“三公”经费支出总体情况说明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度“三公”经费支出共计</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万元，较年初预算数无增减。</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（二）“三公”经费分项支出情况</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hint="eastAsia" w:ascii="方正仿宋_GBK" w:hAnsi="方正仿宋_GBK" w:eastAsia="方正仿宋_GBK" w:cs="方正仿宋_GBK"/>
          <w:b w:val="0"/>
          <w:bCs/>
          <w:color w:val="auto"/>
          <w:sz w:val="32"/>
          <w:szCs w:val="32"/>
          <w:shd w:val="clear" w:color="auto" w:fill="FFFFFF"/>
          <w:lang w:eastAsia="zh-CN"/>
        </w:rPr>
        <w:t>2024年度本单位因公出国（境）费用0.00万元。费用支出较年初预算数无增减。与2023年度相比，无增减。</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hint="eastAsia" w:ascii="方正仿宋_GBK" w:hAnsi="方正仿宋_GBK" w:eastAsia="方正仿宋_GBK" w:cs="方正仿宋_GBK"/>
          <w:b w:val="0"/>
          <w:bCs/>
          <w:color w:val="auto"/>
          <w:sz w:val="32"/>
          <w:szCs w:val="32"/>
          <w:shd w:val="clear" w:color="auto" w:fill="FFFFFF"/>
          <w:lang w:eastAsia="zh-CN"/>
        </w:rPr>
        <w:t> 公务车购置费0.00万元。费用支出较年初预算数无增减。与2023年度相比，无增减。</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hint="eastAsia" w:ascii="方正仿宋_GBK" w:hAnsi="方正仿宋_GBK" w:eastAsia="方正仿宋_GBK" w:cs="方正仿宋_GBK"/>
          <w:b w:val="0"/>
          <w:bCs/>
          <w:color w:val="auto"/>
          <w:sz w:val="32"/>
          <w:szCs w:val="32"/>
          <w:shd w:val="clear" w:color="auto" w:fill="FFFFFF"/>
          <w:lang w:eastAsia="zh-CN"/>
        </w:rPr>
        <w:t>公务车运行维护费0.00万元。费用支出较年初预算数无增减。与2023年度相比，无增减。</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shd w:val="clear" w:color="auto" w:fill="FFFFFF"/>
          <w:lang w:eastAsia="zh-CN"/>
        </w:rPr>
      </w:pPr>
      <w:r>
        <w:rPr>
          <w:rFonts w:hint="eastAsia" w:ascii="方正仿宋_GBK" w:hAnsi="方正仿宋_GBK" w:eastAsia="方正仿宋_GBK" w:cs="方正仿宋_GBK"/>
          <w:b w:val="0"/>
          <w:bCs/>
          <w:color w:val="auto"/>
          <w:sz w:val="32"/>
          <w:szCs w:val="32"/>
          <w:shd w:val="clear" w:color="auto" w:fill="FFFFFF"/>
          <w:lang w:eastAsia="zh-CN"/>
        </w:rPr>
        <w:t>公务接待费0.00万元。费用支出较年初预算数无增减。较上年支出数无增减。</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（三）“三公”经费实物量情况</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ascii="方正仿宋_GBK" w:hAnsi="方正仿宋_GBK" w:eastAsia="方正仿宋_GBK" w:cs="方正仿宋_GBK"/>
          <w:b w:val="0"/>
          <w:bCs/>
          <w:color w:val="auto"/>
          <w:sz w:val="32"/>
          <w:szCs w:val="32"/>
          <w:shd w:val="clear" w:color="auto" w:fill="FFFFFF"/>
        </w:rPr>
        <w:t> </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因公出国（境）共计</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个团组，</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人；公务用车购置</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辆，公务车保有量为</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辆；国内公务接待</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批次</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人，其中：国内外事接待</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批次，</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人；国（境）外公务接待</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批次，</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人。</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人均接待费</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元，车均购置费</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万元，车均维护费</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万元。</w:t>
      </w:r>
    </w:p>
    <w:p>
      <w:pPr>
        <w:pStyle w:val="5"/>
        <w:keepNext w:val="0"/>
        <w:keepLines w:val="0"/>
        <w:pageBreakBefore w:val="0"/>
        <w:widowControl w:val="0"/>
        <w:numPr>
          <w:ilvl w:val="0"/>
          <w:numId w:val="1"/>
        </w:numPr>
        <w:shd w:val="clea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Style w:val="8"/>
          <w:rFonts w:ascii="黑体" w:hAnsi="黑体" w:eastAsia="方正黑体_GBK" w:cs="黑体"/>
          <w:b w:val="0"/>
          <w:bCs/>
          <w:color w:val="auto"/>
          <w:sz w:val="32"/>
          <w:szCs w:val="32"/>
          <w:shd w:val="clear" w:color="auto" w:fill="FFFFFF"/>
        </w:rPr>
      </w:pPr>
      <w:r>
        <w:rPr>
          <w:rStyle w:val="8"/>
          <w:rFonts w:ascii="黑体" w:hAnsi="黑体" w:eastAsia="方正黑体_GBK" w:cs="黑体"/>
          <w:b w:val="0"/>
          <w:bCs/>
          <w:color w:val="auto"/>
          <w:sz w:val="32"/>
          <w:szCs w:val="32"/>
          <w:shd w:val="clear" w:color="auto" w:fill="FFFFFF"/>
        </w:rPr>
        <w:t>其他需要说明的事项</w:t>
      </w:r>
    </w:p>
    <w:p>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0" w:afterAutospacing="0" w:line="560" w:lineRule="exact"/>
        <w:ind w:leftChars="0"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（一）财政拨款会议费和培训费情况说明</w:t>
      </w:r>
    </w:p>
    <w:p>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lang w:eastAsia="zh-CN"/>
        </w:rPr>
      </w:pPr>
      <w:r>
        <w:rPr>
          <w:rFonts w:ascii="方正仿宋_GBK" w:hAnsi="方正仿宋_GBK" w:eastAsia="方正仿宋_GBK" w:cs="方正仿宋_GBK"/>
          <w:b w:val="0"/>
          <w:bCs/>
          <w:color w:val="auto"/>
          <w:sz w:val="32"/>
          <w:szCs w:val="32"/>
          <w:shd w:val="clear" w:color="auto" w:fill="FFFFFF"/>
        </w:rPr>
        <w:t>本年度会议费支出</w:t>
      </w:r>
      <w:r>
        <w:rPr>
          <w:rFonts w:ascii="方正仿宋_GBK" w:hAnsi="方正仿宋_GBK" w:eastAsia="方正仿宋_GBK" w:cs="方正仿宋_GBK"/>
          <w:b w:val="0"/>
          <w:bCs/>
          <w:color w:val="auto"/>
          <w:sz w:val="32"/>
          <w:szCs w:val="32"/>
        </w:rPr>
        <w:t>0.00</w:t>
      </w:r>
      <w:r>
        <w:rPr>
          <w:rFonts w:ascii="方正仿宋_GBK" w:hAnsi="方正仿宋_GBK" w:eastAsia="方正仿宋_GBK" w:cs="方正仿宋_GBK"/>
          <w:b w:val="0"/>
          <w:bCs/>
          <w:color w:val="auto"/>
          <w:sz w:val="32"/>
          <w:szCs w:val="32"/>
          <w:shd w:val="clear" w:color="auto" w:fill="FFFFFF"/>
        </w:rPr>
        <w:t>万元，与2023年度相比，无增减。本年度培训费支出</w:t>
      </w:r>
      <w:r>
        <w:rPr>
          <w:rFonts w:ascii="方正仿宋_GBK" w:hAnsi="方正仿宋_GBK" w:eastAsia="方正仿宋_GBK" w:cs="方正仿宋_GBK"/>
          <w:b w:val="0"/>
          <w:bCs/>
          <w:color w:val="auto"/>
          <w:sz w:val="32"/>
          <w:szCs w:val="32"/>
        </w:rPr>
        <w:t>0.01</w:t>
      </w:r>
      <w:r>
        <w:rPr>
          <w:rFonts w:ascii="方正仿宋_GBK" w:hAnsi="方正仿宋_GBK" w:eastAsia="方正仿宋_GBK" w:cs="方正仿宋_GBK"/>
          <w:b w:val="0"/>
          <w:bCs/>
          <w:color w:val="auto"/>
          <w:sz w:val="32"/>
          <w:szCs w:val="32"/>
          <w:shd w:val="clear" w:color="auto" w:fill="FFFFFF"/>
        </w:rPr>
        <w:t>万元，与2023年度相比，增加0.01万元，增长100.0%</w:t>
      </w:r>
      <w:r>
        <w:rPr>
          <w:rFonts w:hint="eastAsia" w:ascii="方正仿宋_GBK" w:hAnsi="方正仿宋_GBK" w:eastAsia="方正仿宋_GBK" w:cs="方正仿宋_GBK"/>
          <w:b w:val="0"/>
          <w:bCs/>
          <w:color w:val="auto"/>
          <w:sz w:val="32"/>
          <w:szCs w:val="32"/>
          <w:shd w:val="clear" w:color="auto" w:fill="FFFFFF"/>
          <w:lang w:eastAsia="zh-CN"/>
        </w:rPr>
        <w:t>。</w:t>
      </w:r>
    </w:p>
    <w:p>
      <w:pPr>
        <w:pStyle w:val="9"/>
        <w:keepNext w:val="0"/>
        <w:keepLines w:val="0"/>
        <w:pageBreakBefore w:val="0"/>
        <w:widowControl w:val="0"/>
        <w:shd w:val="clear"/>
        <w:kinsoku/>
        <w:wordWrap/>
        <w:overflowPunct/>
        <w:topLinePunct w:val="0"/>
        <w:autoSpaceDE w:val="0"/>
        <w:bidi w:val="0"/>
        <w:adjustRightInd/>
        <w:spacing w:beforeAutospacing="0" w:afterAutospacing="0" w:line="560" w:lineRule="exact"/>
        <w:ind w:firstLine="640" w:firstLineChars="200"/>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（二）机关运行经费情况说明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rPr>
      </w:pPr>
      <w:r>
        <w:rPr>
          <w:rFonts w:hint="default" w:ascii="方正仿宋_GBK" w:hAnsi="方正仿宋_GBK" w:eastAsia="方正仿宋_GBK" w:cs="方正仿宋_GBK"/>
          <w:b w:val="0"/>
          <w:bCs/>
          <w:color w:val="auto"/>
          <w:sz w:val="32"/>
          <w:szCs w:val="32"/>
        </w:rPr>
        <w:t>按照</w:t>
      </w:r>
      <w:r>
        <w:rPr>
          <w:rFonts w:hint="eastAsia" w:ascii="方正仿宋_GBK" w:hAnsi="方正仿宋_GBK" w:eastAsia="方正仿宋_GBK" w:cs="方正仿宋_GBK"/>
          <w:b w:val="0"/>
          <w:bCs/>
          <w:color w:val="auto"/>
          <w:sz w:val="32"/>
          <w:szCs w:val="32"/>
          <w:lang w:eastAsia="zh-CN"/>
        </w:rPr>
        <w:t>单位</w:t>
      </w:r>
      <w:r>
        <w:rPr>
          <w:rFonts w:hint="default" w:ascii="方正仿宋_GBK" w:hAnsi="方正仿宋_GBK" w:eastAsia="方正仿宋_GBK" w:cs="方正仿宋_GBK"/>
          <w:b w:val="0"/>
          <w:bCs/>
          <w:color w:val="auto"/>
          <w:sz w:val="32"/>
          <w:szCs w:val="32"/>
        </w:rPr>
        <w:t>决算列报口径，我单位不在机关运行经费统计范围之内。</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（三）国有资产占用情况说明</w:t>
      </w:r>
    </w:p>
    <w:p>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shd w:val="clear" w:color="auto" w:fill="FFFFFF"/>
        </w:rPr>
      </w:pPr>
      <w:r>
        <w:rPr>
          <w:rFonts w:ascii="方正仿宋_GBK" w:hAnsi="方正仿宋_GBK" w:eastAsia="方正仿宋_GBK" w:cs="方正仿宋_GBK"/>
          <w:b w:val="0"/>
          <w:bCs/>
          <w:color w:val="auto"/>
          <w:sz w:val="32"/>
          <w:szCs w:val="32"/>
          <w:shd w:val="clear" w:color="auto" w:fill="FFFFFF"/>
        </w:rPr>
        <w:t>截至</w:t>
      </w: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12月31日，本</w:t>
      </w:r>
      <w:r>
        <w:rPr>
          <w:rFonts w:hint="eastAsia" w:ascii="方正仿宋_GBK" w:hAnsi="方正仿宋_GBK" w:eastAsia="方正仿宋_GBK" w:cs="方正仿宋_GBK"/>
          <w:b w:val="0"/>
          <w:bCs/>
          <w:color w:val="auto"/>
          <w:sz w:val="32"/>
          <w:szCs w:val="32"/>
          <w:shd w:val="clear" w:color="auto" w:fill="FFFFFF"/>
          <w:lang w:eastAsia="zh-CN"/>
        </w:rPr>
        <w:t>单位</w:t>
      </w:r>
      <w:r>
        <w:rPr>
          <w:rFonts w:ascii="方正仿宋_GBK" w:hAnsi="方正仿宋_GBK" w:eastAsia="方正仿宋_GBK" w:cs="方正仿宋_GBK"/>
          <w:b w:val="0"/>
          <w:bCs/>
          <w:color w:val="auto"/>
          <w:sz w:val="32"/>
          <w:szCs w:val="32"/>
          <w:shd w:val="clear" w:color="auto" w:fill="FFFFFF"/>
        </w:rPr>
        <w:t>共有车辆</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辆，其中，副部（省）级及以上领导用车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辆、主要负责人用车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辆、机要通信用车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辆、应急保障用车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辆、执法执勤用车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辆，特种专业技术用车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辆，离退休干部用车</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辆。单价100万元（含）以上专用设备</w:t>
      </w:r>
      <w:r>
        <w:rPr>
          <w:rFonts w:ascii="方正仿宋_GBK" w:hAnsi="方正仿宋_GBK" w:eastAsia="方正仿宋_GBK" w:cs="方正仿宋_GBK"/>
          <w:b w:val="0"/>
          <w:bCs/>
          <w:color w:val="auto"/>
          <w:sz w:val="32"/>
          <w:szCs w:val="32"/>
        </w:rPr>
        <w:t>0</w:t>
      </w:r>
      <w:r>
        <w:rPr>
          <w:rFonts w:ascii="方正仿宋_GBK" w:hAnsi="方正仿宋_GBK" w:eastAsia="方正仿宋_GBK" w:cs="方正仿宋_GBK"/>
          <w:b w:val="0"/>
          <w:bCs/>
          <w:color w:val="auto"/>
          <w:sz w:val="32"/>
          <w:szCs w:val="32"/>
          <w:shd w:val="clear" w:color="auto" w:fill="FFFFFF"/>
        </w:rPr>
        <w:t>台（套）。</w:t>
      </w:r>
    </w:p>
    <w:p>
      <w:pPr>
        <w:pStyle w:val="5"/>
        <w:keepNext w:val="0"/>
        <w:keepLines w:val="0"/>
        <w:pageBreakBefore w:val="0"/>
        <w:widowControl w:val="0"/>
        <w:shd w:val="clear"/>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楷体" w:hAnsi="楷体" w:eastAsia="方正楷体_GBK" w:cs="楷体"/>
          <w:b w:val="0"/>
          <w:bCs/>
          <w:color w:val="auto"/>
          <w:sz w:val="32"/>
          <w:szCs w:val="32"/>
          <w:shd w:val="clear" w:color="auto" w:fill="FFFFFF"/>
        </w:rPr>
      </w:pPr>
      <w:r>
        <w:rPr>
          <w:rFonts w:hint="eastAsia" w:ascii="楷体" w:hAnsi="楷体" w:eastAsia="方正楷体_GBK" w:cs="楷体"/>
          <w:b w:val="0"/>
          <w:bCs/>
          <w:color w:val="auto"/>
          <w:sz w:val="32"/>
          <w:szCs w:val="32"/>
          <w:shd w:val="clear" w:color="auto" w:fill="FFFFFF"/>
        </w:rPr>
        <w:t>（四）政府采购支出情况说明</w:t>
      </w:r>
    </w:p>
    <w:p>
      <w:pPr>
        <w:pStyle w:val="5"/>
        <w:keepNext w:val="0"/>
        <w:keepLines w:val="0"/>
        <w:pageBreakBefore w:val="0"/>
        <w:widowControl w:val="0"/>
        <w:shd w:val="clear"/>
        <w:kinsoku/>
        <w:wordWrap/>
        <w:overflowPunct/>
        <w:topLinePunct w:val="0"/>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shd w:val="clear" w:color="auto" w:fill="FFFFFF"/>
        </w:rPr>
      </w:pPr>
      <w:r>
        <w:rPr>
          <w:rFonts w:hint="eastAsia" w:ascii="方正仿宋_GBK" w:hAnsi="方正仿宋_GBK" w:eastAsia="方正仿宋_GBK" w:cs="方正仿宋_GBK"/>
          <w:b w:val="0"/>
          <w:bCs/>
          <w:color w:val="auto"/>
          <w:sz w:val="32"/>
          <w:szCs w:val="32"/>
          <w:shd w:val="clear" w:color="auto" w:fill="FFFFFF"/>
          <w:lang w:eastAsia="zh-CN"/>
        </w:rPr>
        <w:t>2024年</w:t>
      </w:r>
      <w:r>
        <w:rPr>
          <w:rFonts w:ascii="方正仿宋_GBK" w:hAnsi="方正仿宋_GBK" w:eastAsia="方正仿宋_GBK" w:cs="方正仿宋_GBK"/>
          <w:b w:val="0"/>
          <w:bCs/>
          <w:color w:val="auto"/>
          <w:sz w:val="32"/>
          <w:szCs w:val="32"/>
          <w:shd w:val="clear" w:color="auto" w:fill="FFFFFF"/>
        </w:rPr>
        <w:t>度我单位未发生政府采购事项，无相关经费支出。</w:t>
      </w:r>
    </w:p>
    <w:p>
      <w:pPr>
        <w:pStyle w:val="10"/>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黑体" w:hAnsi="黑体" w:eastAsia="方正黑体_GBK" w:cs="黑体"/>
          <w:b w:val="0"/>
          <w:bCs/>
          <w:color w:val="auto"/>
          <w:sz w:val="32"/>
          <w:szCs w:val="32"/>
          <w:shd w:val="clear" w:color="auto" w:fill="FFFFFF"/>
          <w:lang w:val="en-US" w:eastAsia="zh-CN" w:bidi="ar-SA"/>
        </w:rPr>
      </w:pPr>
      <w:r>
        <w:rPr>
          <w:rStyle w:val="8"/>
          <w:rFonts w:hint="eastAsia" w:ascii="黑体" w:hAnsi="黑体" w:eastAsia="方正黑体_GBK" w:cs="黑体"/>
          <w:b w:val="0"/>
          <w:bCs/>
          <w:color w:val="auto"/>
          <w:sz w:val="32"/>
          <w:szCs w:val="32"/>
          <w:shd w:val="clear" w:color="auto" w:fill="FFFFFF"/>
          <w:lang w:val="en-US" w:eastAsia="zh-CN" w:bidi="ar-SA"/>
        </w:rPr>
        <w:t>五、2024年度预算绩效管理情况说明</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color w:val="auto"/>
          <w:kern w:val="0"/>
          <w:sz w:val="32"/>
          <w:szCs w:val="32"/>
          <w:shd w:val="clear" w:fill="FFFFFF"/>
        </w:rPr>
      </w:pPr>
      <w:r>
        <w:rPr>
          <w:rFonts w:hint="eastAsia" w:ascii="楷体" w:hAnsi="楷体" w:eastAsia="方正楷体_GBK" w:cs="楷体"/>
          <w:b w:val="0"/>
          <w:bCs/>
          <w:color w:val="auto"/>
          <w:kern w:val="0"/>
          <w:sz w:val="32"/>
          <w:szCs w:val="32"/>
          <w:shd w:val="clear" w:fill="FFFFFF"/>
        </w:rPr>
        <w:t>（一）预算绩效管理工作开展情况</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b w:val="0"/>
          <w:bCs/>
          <w:color w:val="auto"/>
          <w:kern w:val="0"/>
          <w:sz w:val="32"/>
          <w:szCs w:val="32"/>
          <w:shd w:val="clear" w:fill="FFFFFF"/>
        </w:rPr>
      </w:pPr>
      <w:r>
        <w:rPr>
          <w:rFonts w:hint="eastAsia" w:ascii="方正仿宋_GBK" w:hAnsi="方正仿宋_GBK" w:eastAsia="方正仿宋_GBK" w:cs="方正仿宋_GBK"/>
          <w:b w:val="0"/>
          <w:bCs/>
          <w:color w:val="auto"/>
          <w:kern w:val="0"/>
          <w:sz w:val="32"/>
          <w:szCs w:val="32"/>
          <w:shd w:val="clear" w:fill="FFFFFF"/>
        </w:rPr>
        <w:t>根据预算绩效管理要求，我</w:t>
      </w:r>
      <w:r>
        <w:rPr>
          <w:rFonts w:hint="eastAsia" w:ascii="方正仿宋_GBK" w:hAnsi="方正仿宋_GBK" w:eastAsia="方正仿宋_GBK" w:cs="方正仿宋_GBK"/>
          <w:b w:val="0"/>
          <w:bCs/>
          <w:color w:val="auto"/>
          <w:kern w:val="0"/>
          <w:sz w:val="32"/>
          <w:szCs w:val="32"/>
          <w:shd w:val="clear" w:fill="FFFFFF"/>
          <w:lang w:eastAsia="zh-CN"/>
        </w:rPr>
        <w:t>单位</w:t>
      </w:r>
      <w:r>
        <w:rPr>
          <w:rFonts w:hint="eastAsia" w:ascii="方正仿宋_GBK" w:hAnsi="方正仿宋_GBK" w:eastAsia="方正仿宋_GBK" w:cs="方正仿宋_GBK"/>
          <w:b w:val="0"/>
          <w:bCs/>
          <w:color w:val="auto"/>
          <w:kern w:val="0"/>
          <w:sz w:val="32"/>
          <w:szCs w:val="32"/>
          <w:shd w:val="clear" w:fill="FFFFFF"/>
        </w:rPr>
        <w:t>对</w:t>
      </w:r>
      <w:r>
        <w:rPr>
          <w:rFonts w:hint="eastAsia" w:ascii="方正仿宋_GBK" w:hAnsi="方正仿宋_GBK" w:eastAsia="方正仿宋_GBK" w:cs="方正仿宋_GBK"/>
          <w:b w:val="0"/>
          <w:bCs/>
          <w:color w:val="auto"/>
          <w:kern w:val="0"/>
          <w:sz w:val="32"/>
          <w:szCs w:val="32"/>
          <w:shd w:val="clear" w:fill="FFFFFF"/>
          <w:lang w:val="en-US" w:eastAsia="zh-CN"/>
        </w:rPr>
        <w:t>1</w:t>
      </w:r>
      <w:r>
        <w:rPr>
          <w:rFonts w:hint="eastAsia" w:ascii="方正仿宋_GBK" w:hAnsi="方正仿宋_GBK" w:eastAsia="方正仿宋_GBK" w:cs="方正仿宋_GBK"/>
          <w:b w:val="0"/>
          <w:bCs/>
          <w:color w:val="auto"/>
          <w:kern w:val="0"/>
          <w:sz w:val="32"/>
          <w:szCs w:val="32"/>
          <w:shd w:val="clear" w:fill="FFFFFF"/>
        </w:rPr>
        <w:t>个项目开展了绩效自评，其中，以填报自评表形式开展自评</w:t>
      </w:r>
      <w:r>
        <w:rPr>
          <w:rFonts w:hint="eastAsia" w:ascii="方正仿宋_GBK" w:hAnsi="方正仿宋_GBK" w:eastAsia="方正仿宋_GBK" w:cs="方正仿宋_GBK"/>
          <w:b w:val="0"/>
          <w:bCs/>
          <w:color w:val="auto"/>
          <w:kern w:val="0"/>
          <w:sz w:val="32"/>
          <w:szCs w:val="32"/>
          <w:shd w:val="clear" w:fill="FFFFFF"/>
          <w:lang w:val="en-US" w:eastAsia="zh-CN"/>
        </w:rPr>
        <w:t>1</w:t>
      </w:r>
      <w:r>
        <w:rPr>
          <w:rFonts w:hint="eastAsia" w:ascii="方正仿宋_GBK" w:hAnsi="方正仿宋_GBK" w:eastAsia="方正仿宋_GBK" w:cs="方正仿宋_GBK"/>
          <w:b w:val="0"/>
          <w:bCs/>
          <w:color w:val="auto"/>
          <w:kern w:val="0"/>
          <w:sz w:val="32"/>
          <w:szCs w:val="32"/>
          <w:shd w:val="clear" w:fill="FFFFFF"/>
        </w:rPr>
        <w:t>项，涉及资金</w:t>
      </w:r>
      <w:r>
        <w:rPr>
          <w:rFonts w:hint="eastAsia" w:ascii="方正仿宋_GBK" w:hAnsi="方正仿宋_GBK" w:eastAsia="方正仿宋_GBK" w:cs="方正仿宋_GBK"/>
          <w:b w:val="0"/>
          <w:bCs/>
          <w:color w:val="auto"/>
          <w:kern w:val="0"/>
          <w:sz w:val="32"/>
          <w:szCs w:val="32"/>
          <w:shd w:val="clear" w:fill="FFFFFF"/>
          <w:lang w:val="en-US" w:eastAsia="zh-CN"/>
        </w:rPr>
        <w:t>9.4</w:t>
      </w:r>
      <w:r>
        <w:rPr>
          <w:rFonts w:hint="eastAsia" w:ascii="方正仿宋_GBK" w:hAnsi="方正仿宋_GBK" w:eastAsia="方正仿宋_GBK" w:cs="方正仿宋_GBK"/>
          <w:b w:val="0"/>
          <w:bCs/>
          <w:color w:val="auto"/>
          <w:kern w:val="0"/>
          <w:sz w:val="32"/>
          <w:szCs w:val="32"/>
          <w:shd w:val="clear" w:fill="FFFFFF"/>
        </w:rPr>
        <w:t>万元。</w:t>
      </w:r>
    </w:p>
    <w:p>
      <w:pPr>
        <w:pStyle w:val="10"/>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楷体" w:hAnsi="楷体" w:eastAsia="方正楷体_GBK" w:cs="楷体"/>
          <w:b w:val="0"/>
          <w:bCs/>
          <w:color w:val="auto"/>
          <w:kern w:val="0"/>
          <w:sz w:val="32"/>
          <w:szCs w:val="32"/>
          <w:shd w:val="clear" w:fill="FFFFFF"/>
        </w:rPr>
      </w:pPr>
      <w:r>
        <w:rPr>
          <w:rFonts w:hint="eastAsia" w:ascii="楷体" w:hAnsi="楷体" w:eastAsia="方正楷体_GBK" w:cs="楷体"/>
          <w:b w:val="0"/>
          <w:bCs/>
          <w:color w:val="auto"/>
          <w:kern w:val="0"/>
          <w:sz w:val="32"/>
          <w:szCs w:val="32"/>
          <w:shd w:val="clear" w:fill="FFFFFF"/>
        </w:rPr>
        <w:t>（二）绩效自评结果</w:t>
      </w:r>
    </w:p>
    <w:p>
      <w:pPr>
        <w:pStyle w:val="12"/>
        <w:keepNext w:val="0"/>
        <w:keepLines w:val="0"/>
        <w:pageBreakBefore w:val="0"/>
        <w:widowControl w:val="0"/>
        <w:shd w:val="clear"/>
        <w:kinsoku/>
        <w:wordWrap/>
        <w:overflowPunct/>
        <w:topLinePunct w:val="0"/>
        <w:autoSpaceDE w:val="0"/>
        <w:autoSpaceDN/>
        <w:bidi w:val="0"/>
        <w:adjustRightInd/>
        <w:snapToGrid/>
        <w:spacing w:after="0" w:afterAutospacing="0" w:line="560"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1.项目绩效自评表。</w:t>
      </w:r>
    </w:p>
    <w:p>
      <w:pPr>
        <w:pStyle w:val="12"/>
        <w:keepNext w:val="0"/>
        <w:keepLines w:val="0"/>
        <w:pageBreakBefore w:val="0"/>
        <w:widowControl w:val="0"/>
        <w:shd w:val="clear"/>
        <w:kinsoku/>
        <w:wordWrap/>
        <w:overflowPunct/>
        <w:topLinePunct w:val="0"/>
        <w:autoSpaceDE w:val="0"/>
        <w:autoSpaceDN/>
        <w:bidi w:val="0"/>
        <w:adjustRightInd/>
        <w:snapToGrid/>
        <w:spacing w:after="0" w:afterAutospacing="0" w:line="560"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详见附件。</w:t>
      </w:r>
    </w:p>
    <w:p>
      <w:pPr>
        <w:pStyle w:val="12"/>
        <w:keepNext w:val="0"/>
        <w:keepLines w:val="0"/>
        <w:pageBreakBefore w:val="0"/>
        <w:widowControl w:val="0"/>
        <w:shd w:val="clear"/>
        <w:kinsoku/>
        <w:wordWrap/>
        <w:overflowPunct/>
        <w:topLinePunct w:val="0"/>
        <w:autoSpaceDE w:val="0"/>
        <w:autoSpaceDN/>
        <w:bidi w:val="0"/>
        <w:adjustRightInd/>
        <w:snapToGrid/>
        <w:spacing w:after="0" w:afterAutospacing="0" w:line="560"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2.项目绩效自评报告或案例。</w:t>
      </w:r>
    </w:p>
    <w:p>
      <w:pPr>
        <w:pStyle w:val="12"/>
        <w:keepNext w:val="0"/>
        <w:keepLines w:val="0"/>
        <w:pageBreakBefore w:val="0"/>
        <w:widowControl w:val="0"/>
        <w:shd w:val="clear"/>
        <w:kinsoku/>
        <w:wordWrap/>
        <w:overflowPunct/>
        <w:topLinePunct w:val="0"/>
        <w:autoSpaceDE w:val="0"/>
        <w:autoSpaceDN/>
        <w:bidi w:val="0"/>
        <w:adjustRightInd/>
        <w:snapToGrid/>
        <w:spacing w:after="0" w:afterAutospacing="0" w:line="56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我单位未委托第三方开展绩效评价。</w:t>
      </w:r>
    </w:p>
    <w:p>
      <w:pPr>
        <w:pStyle w:val="12"/>
        <w:keepNext w:val="0"/>
        <w:keepLines w:val="0"/>
        <w:pageBreakBefore w:val="0"/>
        <w:widowControl w:val="0"/>
        <w:shd w:val="clear"/>
        <w:kinsoku/>
        <w:wordWrap/>
        <w:overflowPunct/>
        <w:topLinePunct w:val="0"/>
        <w:autoSpaceDE w:val="0"/>
        <w:autoSpaceDN/>
        <w:bidi w:val="0"/>
        <w:adjustRightInd/>
        <w:snapToGrid/>
        <w:spacing w:after="0" w:afterAutospacing="0" w:line="560" w:lineRule="exact"/>
        <w:ind w:left="0" w:leftChars="0" w:firstLine="640" w:firstLineChars="200"/>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3.关于绩效自评结果的说明。</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color w:val="auto"/>
          <w:kern w:val="0"/>
          <w:sz w:val="32"/>
          <w:szCs w:val="32"/>
          <w:shd w:val="clear" w:fill="FFFFFF"/>
        </w:rPr>
      </w:pPr>
      <w:r>
        <w:rPr>
          <w:rFonts w:hint="eastAsia" w:ascii="方正仿宋_GBK" w:hAnsi="方正仿宋_GBK" w:eastAsia="方正仿宋_GBK" w:cs="方正仿宋_GBK"/>
          <w:b w:val="0"/>
          <w:bCs/>
          <w:color w:val="auto"/>
          <w:kern w:val="0"/>
          <w:sz w:val="32"/>
          <w:szCs w:val="32"/>
          <w:shd w:val="clear" w:fill="FFFFFF"/>
        </w:rPr>
        <w:t>我</w:t>
      </w:r>
      <w:r>
        <w:rPr>
          <w:rFonts w:hint="eastAsia" w:ascii="方正仿宋_GBK" w:hAnsi="方正仿宋_GBK" w:eastAsia="方正仿宋_GBK" w:cs="方正仿宋_GBK"/>
          <w:b w:val="0"/>
          <w:bCs/>
          <w:color w:val="auto"/>
          <w:kern w:val="0"/>
          <w:sz w:val="32"/>
          <w:szCs w:val="32"/>
          <w:shd w:val="clear" w:fill="FFFFFF"/>
          <w:lang w:eastAsia="zh-CN"/>
        </w:rPr>
        <w:t>单位</w:t>
      </w:r>
      <w:r>
        <w:rPr>
          <w:rFonts w:hint="eastAsia" w:ascii="方正仿宋_GBK" w:hAnsi="方正仿宋_GBK" w:eastAsia="方正仿宋_GBK" w:cs="方正仿宋_GBK"/>
          <w:b w:val="0"/>
          <w:bCs/>
          <w:color w:val="auto"/>
          <w:kern w:val="0"/>
          <w:sz w:val="32"/>
          <w:szCs w:val="32"/>
          <w:shd w:val="clear" w:fill="FFFFFF"/>
        </w:rPr>
        <w:t>对</w:t>
      </w:r>
      <w:r>
        <w:rPr>
          <w:rFonts w:hint="eastAsia" w:ascii="方正仿宋_GBK" w:hAnsi="方正仿宋_GBK" w:eastAsia="方正仿宋_GBK" w:cs="方正仿宋_GBK"/>
          <w:b w:val="0"/>
          <w:bCs/>
          <w:color w:val="auto"/>
          <w:kern w:val="0"/>
          <w:sz w:val="32"/>
          <w:szCs w:val="32"/>
          <w:shd w:val="clear" w:fill="FFFFFF"/>
          <w:lang w:val="en-US" w:eastAsia="zh-CN"/>
        </w:rPr>
        <w:t>1</w:t>
      </w:r>
      <w:r>
        <w:rPr>
          <w:rFonts w:hint="eastAsia" w:ascii="方正仿宋_GBK" w:hAnsi="方正仿宋_GBK" w:eastAsia="方正仿宋_GBK" w:cs="方正仿宋_GBK"/>
          <w:b w:val="0"/>
          <w:bCs/>
          <w:color w:val="auto"/>
          <w:kern w:val="0"/>
          <w:sz w:val="32"/>
          <w:szCs w:val="32"/>
          <w:shd w:val="clear" w:fill="FFFFFF"/>
        </w:rPr>
        <w:t>个项目进行绩效自评，其中</w:t>
      </w:r>
      <w:r>
        <w:rPr>
          <w:rFonts w:hint="eastAsia" w:ascii="方正仿宋_GBK" w:hAnsi="方正仿宋_GBK" w:eastAsia="方正仿宋_GBK" w:cs="方正仿宋_GBK"/>
          <w:b w:val="0"/>
          <w:bCs/>
          <w:color w:val="auto"/>
          <w:kern w:val="0"/>
          <w:sz w:val="32"/>
          <w:szCs w:val="32"/>
          <w:shd w:val="clear" w:fill="FFFFFF"/>
          <w:lang w:val="en-US" w:eastAsia="zh-CN"/>
        </w:rPr>
        <w:t>1个</w:t>
      </w:r>
      <w:bookmarkStart w:id="0" w:name="_GoBack"/>
      <w:bookmarkEnd w:id="0"/>
      <w:r>
        <w:rPr>
          <w:rFonts w:hint="eastAsia" w:ascii="方正仿宋_GBK" w:hAnsi="方正仿宋_GBK" w:eastAsia="方正仿宋_GBK" w:cs="方正仿宋_GBK"/>
          <w:b w:val="0"/>
          <w:bCs/>
          <w:color w:val="auto"/>
          <w:kern w:val="0"/>
          <w:sz w:val="32"/>
          <w:szCs w:val="32"/>
          <w:shd w:val="clear" w:fill="FFFFFF"/>
        </w:rPr>
        <w:t>已完成年度绩效目标，</w:t>
      </w:r>
      <w:r>
        <w:rPr>
          <w:rFonts w:hint="eastAsia" w:ascii="方正仿宋_GBK" w:hAnsi="方正仿宋_GBK" w:eastAsia="方正仿宋_GBK" w:cs="方正仿宋_GBK"/>
          <w:b w:val="0"/>
          <w:bCs/>
          <w:color w:val="auto"/>
          <w:kern w:val="0"/>
          <w:sz w:val="32"/>
          <w:szCs w:val="32"/>
          <w:shd w:val="clear" w:fill="FFFFFF"/>
          <w:lang w:val="en-US" w:eastAsia="zh-CN"/>
        </w:rPr>
        <w:t>0</w:t>
      </w:r>
      <w:r>
        <w:rPr>
          <w:rFonts w:hint="eastAsia" w:ascii="方正仿宋_GBK" w:hAnsi="方正仿宋_GBK" w:eastAsia="方正仿宋_GBK" w:cs="方正仿宋_GBK"/>
          <w:b w:val="0"/>
          <w:bCs/>
          <w:color w:val="auto"/>
          <w:kern w:val="0"/>
          <w:sz w:val="32"/>
          <w:szCs w:val="32"/>
          <w:shd w:val="clear" w:fill="FFFFFF"/>
        </w:rPr>
        <w:t>个未完成年度绩效目标。</w:t>
      </w:r>
    </w:p>
    <w:p>
      <w:pPr>
        <w:pStyle w:val="12"/>
        <w:keepNext w:val="0"/>
        <w:keepLines w:val="0"/>
        <w:pageBreakBefore w:val="0"/>
        <w:widowControl w:val="0"/>
        <w:shd w:val="clear"/>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楷体" w:hAnsi="楷体" w:eastAsia="方正楷体_GBK" w:cs="楷体"/>
          <w:b w:val="0"/>
          <w:bCs/>
          <w:color w:val="auto"/>
          <w:kern w:val="0"/>
          <w:sz w:val="32"/>
          <w:szCs w:val="32"/>
          <w:shd w:val="clear" w:fill="FFFFFF"/>
          <w:lang w:val="en-US" w:eastAsia="zh-CN" w:bidi="ar"/>
        </w:rPr>
      </w:pPr>
      <w:r>
        <w:rPr>
          <w:rFonts w:hint="eastAsia" w:ascii="楷体" w:hAnsi="楷体" w:eastAsia="方正楷体_GBK" w:cs="楷体"/>
          <w:b w:val="0"/>
          <w:bCs/>
          <w:color w:val="auto"/>
          <w:kern w:val="0"/>
          <w:sz w:val="32"/>
          <w:szCs w:val="32"/>
          <w:shd w:val="clear" w:fill="FFFFFF"/>
          <w:lang w:val="en-US" w:eastAsia="zh-CN" w:bidi="ar"/>
        </w:rPr>
        <w:t>（三）财政重点绩效评价情况</w:t>
      </w:r>
    </w:p>
    <w:p>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shd w:val="clear" w:fill="FFFFFF"/>
          <w:lang w:val="en-US" w:eastAsia="zh-CN"/>
        </w:rPr>
      </w:pPr>
      <w:r>
        <w:rPr>
          <w:rFonts w:hint="eastAsia" w:ascii="方正仿宋_GBK" w:hAnsi="方正仿宋_GBK" w:eastAsia="方正仿宋_GBK" w:cs="方正仿宋_GBK"/>
          <w:b w:val="0"/>
          <w:bCs/>
          <w:color w:val="auto"/>
          <w:kern w:val="0"/>
          <w:sz w:val="32"/>
          <w:szCs w:val="32"/>
          <w:shd w:val="clear" w:fill="FFFFFF"/>
          <w:lang w:val="en-US" w:eastAsia="zh-CN"/>
        </w:rPr>
        <w:t>我单位无财政重点绩效评价项目</w:t>
      </w:r>
      <w:r>
        <w:rPr>
          <w:rFonts w:hint="eastAsia" w:ascii="方正仿宋_GBK" w:hAnsi="方正仿宋_GBK" w:eastAsia="方正仿宋_GBK" w:cs="方正仿宋_GBK"/>
          <w:b w:val="0"/>
          <w:bCs/>
          <w:kern w:val="0"/>
          <w:sz w:val="32"/>
          <w:szCs w:val="32"/>
          <w:shd w:val="clear" w:fill="FFFFFF"/>
          <w:lang w:val="en-US" w:eastAsia="zh-CN"/>
        </w:rPr>
        <w:t>。</w:t>
      </w:r>
    </w:p>
    <w:p>
      <w:pPr>
        <w:pStyle w:val="10"/>
        <w:keepNext w:val="0"/>
        <w:keepLines w:val="0"/>
        <w:pageBreakBefore w:val="0"/>
        <w:widowControl w:val="0"/>
        <w:shd w:val="clear"/>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11"/>
          <w:rFonts w:hint="eastAsia" w:ascii="方正仿宋_GBK" w:hAnsi="方正仿宋_GBK" w:eastAsia="方正仿宋_GBK" w:cs="方正仿宋_GBK"/>
          <w:b w:val="0"/>
          <w:bCs/>
          <w:sz w:val="32"/>
          <w:szCs w:val="32"/>
          <w:shd w:val="clear" w:fill="FFFFFF"/>
        </w:rPr>
        <w:t xml:space="preserve"> </w:t>
      </w:r>
      <w:r>
        <w:rPr>
          <w:rStyle w:val="8"/>
          <w:rFonts w:hint="eastAsia" w:ascii="黑体" w:hAnsi="黑体" w:eastAsia="方正黑体_GBK" w:cs="黑体"/>
          <w:b w:val="0"/>
          <w:bCs/>
          <w:sz w:val="32"/>
          <w:szCs w:val="32"/>
          <w:shd w:val="clear" w:color="auto" w:fill="FFFFFF"/>
          <w:lang w:val="en-US" w:eastAsia="zh-CN" w:bidi="ar-SA"/>
        </w:rPr>
        <w:t>六、专业名词解释</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取得的财政拨款，包括一般公共预算财政拨款和政府性基金预算财政拨款。</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以外的同级单位取得的经费、从非本级财政</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取得的经费，以及行政单位收到的财政专户管理资金反映在本项内。</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方正楷体_GBK"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w:t>
      </w:r>
      <w:r>
        <w:rPr>
          <w:rFonts w:hint="eastAsia" w:ascii="方正仿宋_GBK" w:hAnsi="方正仿宋_GBK" w:eastAsia="方正仿宋_GBK" w:cs="方正仿宋_GBK"/>
          <w:b w:val="0"/>
          <w:bCs/>
          <w:kern w:val="0"/>
          <w:sz w:val="32"/>
          <w:szCs w:val="32"/>
          <w:shd w:val="clear" w:fill="FFFFFF"/>
          <w:lang w:eastAsia="zh-CN"/>
        </w:rPr>
        <w:t>单位</w:t>
      </w:r>
      <w:r>
        <w:rPr>
          <w:rFonts w:hint="eastAsia" w:ascii="方正仿宋_GBK" w:hAnsi="方正仿宋_GBK" w:eastAsia="方正仿宋_GBK" w:cs="方正仿宋_GBK"/>
          <w:b w:val="0"/>
          <w:bCs/>
          <w:kern w:val="0"/>
          <w:sz w:val="32"/>
          <w:szCs w:val="32"/>
          <w:shd w:val="clear" w:fill="FFFFFF"/>
        </w:rPr>
        <w:t>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Style w:val="8"/>
          <w:rFonts w:hint="eastAsia" w:ascii="黑体" w:hAnsi="黑体" w:eastAsia="方正黑体_GBK" w:cs="黑体"/>
          <w:b w:val="0"/>
          <w:bCs/>
          <w:sz w:val="32"/>
          <w:szCs w:val="32"/>
          <w:shd w:val="clear" w:color="auto" w:fill="FFFFFF"/>
          <w:lang w:val="en-US" w:eastAsia="zh-CN" w:bidi="ar-SA"/>
        </w:rPr>
        <w:t>七、决算公开联系方式及信息反馈渠道</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kern w:val="0"/>
          <w:sz w:val="32"/>
          <w:szCs w:val="32"/>
        </w:rPr>
      </w:pPr>
      <w:r>
        <w:rPr>
          <w:rFonts w:hint="eastAsia" w:ascii="方正仿宋_GBK" w:hAnsi="方正仿宋_GBK" w:eastAsia="方正仿宋_GBK" w:cs="方正仿宋_GBK"/>
          <w:b w:val="0"/>
          <w:bCs/>
          <w:kern w:val="0"/>
          <w:sz w:val="32"/>
          <w:szCs w:val="32"/>
          <w:shd w:val="clear" w:fill="FFFFFF"/>
        </w:rPr>
        <w:t>本单位决算公开信息反馈和联系方式：</w:t>
      </w:r>
    </w:p>
    <w:p>
      <w:pPr>
        <w:pStyle w:val="10"/>
        <w:keepNext w:val="0"/>
        <w:keepLines w:val="0"/>
        <w:pageBreakBefore w:val="0"/>
        <w:widowControl w:val="0"/>
        <w:shd w:val="clear"/>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kern w:val="0"/>
          <w:sz w:val="32"/>
          <w:szCs w:val="32"/>
          <w:lang w:val="en-US" w:eastAsia="zh-CN"/>
        </w:rPr>
      </w:pPr>
      <w:r>
        <w:rPr>
          <w:rFonts w:hint="eastAsia" w:ascii="方正仿宋_GBK" w:hAnsi="方正仿宋_GBK" w:eastAsia="方正仿宋_GBK" w:cs="方正仿宋_GBK"/>
          <w:b w:val="0"/>
          <w:bCs/>
          <w:color w:val="auto"/>
          <w:kern w:val="0"/>
          <w:sz w:val="32"/>
          <w:szCs w:val="32"/>
          <w:shd w:val="clear" w:fill="FFFFFF"/>
          <w:lang w:eastAsia="zh-CN"/>
        </w:rPr>
        <w:t>联系人：</w:t>
      </w:r>
      <w:r>
        <w:rPr>
          <w:rFonts w:hint="eastAsia" w:ascii="方正仿宋_GBK" w:hAnsi="方正仿宋_GBK" w:eastAsia="方正仿宋_GBK" w:cs="方正仿宋_GBK"/>
          <w:b w:val="0"/>
          <w:bCs/>
          <w:color w:val="auto"/>
          <w:kern w:val="0"/>
          <w:sz w:val="32"/>
          <w:szCs w:val="32"/>
          <w:shd w:val="clear" w:fill="FFFFFF"/>
          <w:lang w:val="en-US" w:eastAsia="zh-CN"/>
        </w:rPr>
        <w:t>汪子钦 联系方式：</w:t>
      </w:r>
      <w:r>
        <w:rPr>
          <w:rFonts w:hint="eastAsia" w:ascii="方正仿宋_GBK" w:hAnsi="方正仿宋_GBK" w:eastAsia="方正仿宋_GBK" w:cs="方正仿宋_GBK"/>
          <w:b w:val="0"/>
          <w:bCs/>
          <w:color w:val="auto"/>
          <w:kern w:val="0"/>
          <w:sz w:val="32"/>
          <w:szCs w:val="32"/>
          <w:shd w:val="clear" w:fill="FFFFFF"/>
        </w:rPr>
        <w:t>023-</w:t>
      </w:r>
      <w:r>
        <w:rPr>
          <w:rFonts w:hint="eastAsia" w:ascii="方正仿宋_GBK" w:hAnsi="方正仿宋_GBK" w:eastAsia="方正仿宋_GBK" w:cs="方正仿宋_GBK"/>
          <w:b w:val="0"/>
          <w:bCs/>
          <w:color w:val="auto"/>
          <w:kern w:val="0"/>
          <w:sz w:val="32"/>
          <w:szCs w:val="32"/>
          <w:shd w:val="clear" w:fill="FFFFFF"/>
          <w:lang w:val="en-US" w:eastAsia="zh-CN"/>
        </w:rPr>
        <w:t>45218304</w:t>
      </w:r>
    </w:p>
    <w:sectPr>
      <w:headerReference r:id="rId3" w:type="default"/>
      <w:footerReference r:id="rId4" w:type="default"/>
      <w:pgSz w:w="11850" w:h="16783"/>
      <w:pgMar w:top="1440" w:right="1803" w:bottom="1440" w:left="1803"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E62463"/>
    <w:multiLevelType w:val="singleLevel"/>
    <w:tmpl w:val="61E6246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B03CCD"/>
    <w:rsid w:val="000D7BCC"/>
    <w:rsid w:val="00550ABE"/>
    <w:rsid w:val="007B419D"/>
    <w:rsid w:val="00893B47"/>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BC027C5"/>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C1135"/>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2169F3"/>
    <w:rsid w:val="4B7951CB"/>
    <w:rsid w:val="4B7C315C"/>
    <w:rsid w:val="4B9300D7"/>
    <w:rsid w:val="4BAB7F90"/>
    <w:rsid w:val="4BD53EDA"/>
    <w:rsid w:val="4BE11807"/>
    <w:rsid w:val="4C484CE5"/>
    <w:rsid w:val="4DAC4ACA"/>
    <w:rsid w:val="4DD06F63"/>
    <w:rsid w:val="4E043596"/>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 w:val="F3F5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4957</Words>
  <Characters>5447</Characters>
  <Lines>161</Lines>
  <Paragraphs>45</Paragraphs>
  <TotalTime>6</TotalTime>
  <ScaleCrop>false</ScaleCrop>
  <LinksUpToDate>false</LinksUpToDate>
  <CharactersWithSpaces>5464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UOS</cp:lastModifiedBy>
  <dcterms:modified xsi:type="dcterms:W3CDTF">2025-10-29T16:36:23Z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BB46EABDBB2749749395447164B066B3_12</vt:lpwstr>
  </property>
  <property fmtid="{D5CDD505-2E9C-101B-9397-08002B2CF9AE}" pid="4" name="KSOTemplateDocerSaveRecord">
    <vt:lpwstr>eyJoZGlkIjoiNWRiYzhhNTgyZmY5OGQ2ZGY4N2EwYTg2ZmZmYWRjN2QiLCJ1c2VySWQiOiIyNzQ2OTgwNiJ9</vt:lpwstr>
  </property>
</Properties>
</file>