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kinsoku/>
        <w:wordWrap/>
        <w:overflowPunct/>
        <w:topLinePunct w:val="0"/>
        <w:bidi w:val="0"/>
        <w:adjustRightInd/>
        <w:spacing w:before="0" w:beforeAutospacing="0" w:after="0" w:afterAutospacing="0" w:line="560" w:lineRule="exact"/>
        <w:ind w:firstLine="0" w:firstLineChars="0"/>
        <w:jc w:val="center"/>
        <w:textAlignment w:val="auto"/>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 xml:space="preserve">  </w:t>
      </w:r>
      <w:r>
        <w:rPr>
          <w:rFonts w:ascii="方正小标宋_GBK" w:hAnsi="方正小标宋_GBK" w:eastAsia="方正小标宋_GBK" w:cs="方正小标宋_GBK"/>
          <w:b w:val="0"/>
          <w:bCs w:val="0"/>
          <w:sz w:val="44"/>
          <w:szCs w:val="44"/>
        </w:rPr>
        <w:t>重庆市铜梁区双山镇人民政府（本级）</w:t>
      </w:r>
    </w:p>
    <w:p>
      <w:pPr>
        <w:pStyle w:val="5"/>
        <w:keepNext w:val="0"/>
        <w:keepLines w:val="0"/>
        <w:pageBreakBefore w:val="0"/>
        <w:widowControl w:val="0"/>
        <w:shd w:val="clear"/>
        <w:kinsoku/>
        <w:wordWrap/>
        <w:overflowPunct/>
        <w:topLinePunct w:val="0"/>
        <w:bidi w:val="0"/>
        <w:adjustRightInd/>
        <w:spacing w:before="0" w:beforeAutospacing="0" w:after="0" w:afterAutospacing="0" w:line="560" w:lineRule="exact"/>
        <w:ind w:firstLine="0" w:firstLineChars="0"/>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sz w:val="32"/>
          <w:szCs w:val="32"/>
        </w:rPr>
      </w:pPr>
      <w:r>
        <w:rPr>
          <w:rStyle w:val="8"/>
          <w:rFonts w:ascii="楷体" w:hAnsi="楷体" w:eastAsia="方正楷体_GBK" w:cs="楷体"/>
          <w:b w:val="0"/>
          <w:bCs/>
          <w:sz w:val="32"/>
          <w:szCs w:val="32"/>
          <w:shd w:val="clear" w:color="auto" w:fill="FFFFFF"/>
        </w:rPr>
        <w:t>（一）职能职责</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1、在区委、区政府的领导下，贯彻执行党和国家各项方针、政策、法律、法规，负责辖区内的地区性、群众性、公益性、社会性工作。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2、负责精神文明建设工作，积极组织以提高村民素质为目的的活动，树文明立新风。</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3、做好辖区范围内城市建设和管理、市容环境卫生、园林绿化、环境保护、市政等监督、管理、服务工作。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4、负责辖区内的维护稳定工作及社会治安综合治理工作、依照有关政策规定做好外来人口的管理工作。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5、负责民事调解，法律服务工作，维护居民的合法权益，负责社区建设和管理，指导开展社区服务工作，大力兴办社会福利事业，发动和组织社区成员开展各类社区公益活动。</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6、负责民兵、兵役、拥军优属、优抚安置、社会救济、社会福利、社区文化、科普、体育、教育、旅游工作。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人民调解等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8、指导和帮助居（村）民委员会搞好组织建设和制度建设，发挥居（村）民委员会的群众自治作用。</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auto"/>
          <w:sz w:val="32"/>
          <w:szCs w:val="32"/>
          <w:shd w:val="clear" w:color="auto" w:fill="FFFFFF"/>
        </w:rPr>
        <w:t>9、配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合有关</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做好防汛、防火、防震、抢险和救灾工作。</w:t>
      </w:r>
    </w:p>
    <w:p>
      <w:pPr>
        <w:pStyle w:val="5"/>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（二）机构设置</w:t>
      </w:r>
    </w:p>
    <w:p>
      <w:pPr>
        <w:pStyle w:val="5"/>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本单位为行政单位，单位预算级次为二级预算单位，单位经费保障方式为财政全额拨款</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w:t>
      </w:r>
    </w:p>
    <w:p>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val="0"/>
        <w:shd w:val="clear"/>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Style w:val="8"/>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度收入总计1035.72万元，支出总计</w:t>
      </w:r>
      <w:r>
        <w:rPr>
          <w:rFonts w:ascii="方正仿宋_GBK" w:hAnsi="方正仿宋_GBK" w:eastAsia="方正仿宋_GBK" w:cs="方正仿宋_GBK"/>
          <w:sz w:val="32"/>
          <w:szCs w:val="32"/>
        </w:rPr>
        <w:t>1035.72</w:t>
      </w:r>
      <w:r>
        <w:rPr>
          <w:rFonts w:ascii="方正仿宋_GBK" w:hAnsi="方正仿宋_GBK" w:eastAsia="方正仿宋_GBK" w:cs="方正仿宋_GBK"/>
          <w:sz w:val="32"/>
          <w:szCs w:val="32"/>
          <w:shd w:val="clear" w:color="auto" w:fill="FFFFFF"/>
        </w:rPr>
        <w:t>万元。收、支与2023年度相比，减少1380.15万元，下降57.1%，主要原因是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度收入合计1020.72万元，与2023年度相比，减少1380.15万元，下降57.5%，主要原因是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1020.72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1020.72</w:t>
      </w:r>
      <w:r>
        <w:rPr>
          <w:rFonts w:ascii="方正仿宋_GBK" w:hAnsi="方正仿宋_GBK" w:eastAsia="方正仿宋_GBK" w:cs="方正仿宋_GBK"/>
          <w:sz w:val="32"/>
          <w:szCs w:val="32"/>
          <w:shd w:val="clear" w:color="auto" w:fill="FFFFFF"/>
        </w:rPr>
        <w:t>万元，与2023年度相比，减少1380.15万元，下降57.5%，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492.91</w:t>
      </w:r>
      <w:r>
        <w:rPr>
          <w:rFonts w:ascii="方正仿宋_GBK" w:hAnsi="方正仿宋_GBK" w:eastAsia="方正仿宋_GBK" w:cs="方正仿宋_GBK"/>
          <w:sz w:val="32"/>
          <w:szCs w:val="32"/>
          <w:shd w:val="clear" w:color="auto" w:fill="FFFFFF"/>
        </w:rPr>
        <w:t>万元，占48.29%；项目支出</w:t>
      </w:r>
      <w:r>
        <w:rPr>
          <w:rFonts w:ascii="方正仿宋_GBK" w:hAnsi="方正仿宋_GBK" w:eastAsia="方正仿宋_GBK" w:cs="方正仿宋_GBK"/>
          <w:sz w:val="32"/>
          <w:szCs w:val="32"/>
        </w:rPr>
        <w:t>527.81</w:t>
      </w:r>
      <w:r>
        <w:rPr>
          <w:rFonts w:ascii="方正仿宋_GBK" w:hAnsi="方正仿宋_GBK" w:eastAsia="方正仿宋_GBK" w:cs="方正仿宋_GBK"/>
          <w:sz w:val="32"/>
          <w:szCs w:val="32"/>
          <w:shd w:val="clear" w:color="auto" w:fill="FFFFFF"/>
        </w:rPr>
        <w:t>万元，占51.71%；经营支出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度财政拨款收、支总计1035.72万元。与202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年相比，财政拨款收、支总计各减少1380.15万元，下降57.1%。主要原因是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1020.72</w:t>
      </w:r>
      <w:r>
        <w:rPr>
          <w:rFonts w:ascii="方正仿宋_GBK" w:hAnsi="方正仿宋_GBK" w:eastAsia="方正仿宋_GBK" w:cs="方正仿宋_GBK"/>
          <w:sz w:val="32"/>
          <w:szCs w:val="32"/>
          <w:shd w:val="clear" w:color="auto" w:fill="FFFFFF"/>
        </w:rPr>
        <w:t>万元，与2023年度相比，减少1380.15万元，下降57.5%。主要原因是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。较年初预算数减少219.77万元，下降17.7%。主要原因是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15.00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Style w:val="8"/>
          <w:rFonts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1020.72</w:t>
      </w:r>
      <w:r>
        <w:rPr>
          <w:rFonts w:ascii="方正仿宋_GBK" w:hAnsi="方正仿宋_GBK" w:eastAsia="方正仿宋_GBK" w:cs="方正仿宋_GBK"/>
          <w:sz w:val="32"/>
          <w:szCs w:val="32"/>
          <w:shd w:val="clear" w:color="auto" w:fill="FFFFFF"/>
        </w:rPr>
        <w:t>万元，与2023年度相比，减少1380.15万元，下降57.5%。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。较年初预算数减少219.77万元，下降17.7%。主要原因是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 xml:space="preserve">财政拨款减少。   </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b w:val="0"/>
          <w:bCs/>
          <w:color w:val="000000" w:themeColor="text1"/>
          <w:sz w:val="32"/>
          <w:szCs w:val="32"/>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15.00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单位2024年</w:t>
      </w:r>
      <w:r>
        <w:rPr>
          <w:rFonts w:ascii="方正仿宋_GBK" w:hAnsi="方正仿宋_GBK" w:eastAsia="方正仿宋_GBK" w:cs="方正仿宋_GBK"/>
          <w:sz w:val="32"/>
          <w:szCs w:val="32"/>
          <w:shd w:val="clear" w:color="auto" w:fill="FFFFFF"/>
        </w:rPr>
        <w:t>度一般公共预算财政拨款支出主要用于以下几个方面</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400.61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39.25</w:t>
      </w:r>
      <w:r>
        <w:rPr>
          <w:rFonts w:ascii="方正仿宋_GBK" w:hAnsi="方正仿宋_GBK" w:eastAsia="方正仿宋_GBK" w:cs="方正仿宋_GBK"/>
          <w:sz w:val="32"/>
          <w:szCs w:val="32"/>
          <w:shd w:val="clear" w:color="auto" w:fill="FFFFFF"/>
        </w:rPr>
        <w:t>%，较年初预算数减少87.12万元，下降17.9%，主要原因</w:t>
      </w:r>
      <w:r>
        <w:rPr>
          <w:rFonts w:hint="eastAsia" w:ascii="方正仿宋_GBK" w:hAnsi="方正仿宋_GBK" w:eastAsia="方正仿宋_GBK" w:cs="方正仿宋_GBK"/>
          <w:sz w:val="32"/>
          <w:szCs w:val="32"/>
          <w:shd w:val="clear" w:color="auto" w:fill="FFFFFF"/>
          <w:lang w:val="en-US" w:eastAsia="zh-CN"/>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92.37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9.05</w:t>
      </w:r>
      <w:r>
        <w:rPr>
          <w:rFonts w:ascii="方正仿宋_GBK" w:hAnsi="方正仿宋_GBK" w:eastAsia="方正仿宋_GBK" w:cs="方正仿宋_GBK"/>
          <w:sz w:val="32"/>
          <w:szCs w:val="32"/>
          <w:shd w:val="clear" w:color="auto" w:fill="FFFFFF"/>
        </w:rPr>
        <w:t>%，较年初预算数增加7.25万元，增长8.5%，主要原因是</w:t>
      </w:r>
      <w:r>
        <w:rPr>
          <w:rFonts w:hint="eastAsia" w:ascii="方正仿宋_GBK" w:hAnsi="方正仿宋_GBK" w:eastAsia="方正仿宋_GBK" w:cs="方正仿宋_GBK"/>
          <w:sz w:val="32"/>
          <w:szCs w:val="32"/>
          <w:shd w:val="clear" w:color="auto" w:fill="FFFFFF"/>
          <w:lang w:val="en-US" w:eastAsia="zh-CN"/>
        </w:rPr>
        <w:t>人员社保基数增加。</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23.93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2.34</w:t>
      </w:r>
      <w:r>
        <w:rPr>
          <w:rFonts w:ascii="方正仿宋_GBK" w:hAnsi="方正仿宋_GBK" w:eastAsia="方正仿宋_GBK" w:cs="方正仿宋_GBK"/>
          <w:sz w:val="32"/>
          <w:szCs w:val="32"/>
          <w:shd w:val="clear" w:color="auto" w:fill="FFFFFF"/>
        </w:rPr>
        <w:t>%，较年初预算数减少9.42万元，下降28.3%，主要原因是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%，较年初预算数减少65.75万元，下降96.1%，主要原因是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9.21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0.90</w:t>
      </w:r>
      <w:r>
        <w:rPr>
          <w:rFonts w:ascii="方正仿宋_GBK" w:hAnsi="方正仿宋_GBK" w:eastAsia="方正仿宋_GBK" w:cs="方正仿宋_GBK"/>
          <w:sz w:val="32"/>
          <w:szCs w:val="32"/>
          <w:shd w:val="clear" w:color="auto" w:fill="FFFFFF"/>
        </w:rPr>
        <w:t>%，较年初预算数减少40.29万元，下降81.4%，主要原因是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397.08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38.90</w:t>
      </w:r>
      <w:r>
        <w:rPr>
          <w:rFonts w:ascii="方正仿宋_GBK" w:hAnsi="方正仿宋_GBK" w:eastAsia="方正仿宋_GBK" w:cs="方正仿宋_GBK"/>
          <w:sz w:val="32"/>
          <w:szCs w:val="32"/>
          <w:shd w:val="clear" w:color="auto" w:fill="FFFFFF"/>
        </w:rPr>
        <w:t>%，较年初预算数减少58.32万元，下降12.8%，主要原因是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48.95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%，较年初预算数增加18.95万元，增长63.2%，主要原因是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清偿往年交通项目债务</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住房保障支出30.99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w:t>
      </w:r>
      <w:bookmarkStart w:id="0" w:name="_GoBack"/>
      <w:bookmarkEnd w:id="0"/>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灾害防治及应急管理支出14.92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%，较年初预算数增加14.92万元，增长100.0%，主要原因是</w:t>
      </w:r>
      <w:r>
        <w:rPr>
          <w:rFonts w:hint="eastAsia" w:ascii="方正仿宋_GBK" w:hAnsi="方正仿宋_GBK" w:eastAsia="方正仿宋_GBK" w:cs="方正仿宋_GBK"/>
          <w:sz w:val="32"/>
          <w:szCs w:val="32"/>
          <w:shd w:val="clear" w:color="auto" w:fill="FFFFFF"/>
          <w:lang w:eastAsia="zh-CN"/>
        </w:rPr>
        <w:t>用于本年度</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防汛抗旱</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492.91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419.02</w:t>
      </w:r>
      <w:r>
        <w:rPr>
          <w:rFonts w:ascii="方正仿宋_GBK" w:hAnsi="方正仿宋_GBK" w:eastAsia="方正仿宋_GBK" w:cs="方正仿宋_GBK"/>
          <w:sz w:val="32"/>
          <w:szCs w:val="32"/>
          <w:shd w:val="clear" w:color="auto" w:fill="FFFFFF"/>
        </w:rPr>
        <w:t>万元，与2023年度相比，减少615.43万元，下降59.5%，主要原因是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人员工资和五险一金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73.89</w:t>
      </w:r>
      <w:r>
        <w:rPr>
          <w:rFonts w:ascii="方正仿宋_GBK" w:hAnsi="方正仿宋_GBK" w:eastAsia="方正仿宋_GBK" w:cs="方正仿宋_GBK"/>
          <w:sz w:val="32"/>
          <w:szCs w:val="32"/>
          <w:shd w:val="clear" w:color="auto" w:fill="FFFFFF"/>
        </w:rPr>
        <w:t>万元，与2023年度相比，减少180.42万元，下降70.9%，主要原因是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办公费、水费、电费、邮电费、维修（护）费、委托业务费、其他商品服务费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（五）政府性基金预算收支决算情况说明</w:t>
      </w:r>
    </w:p>
    <w:p>
      <w:pPr>
        <w:pStyle w:val="9"/>
        <w:keepNext w:val="0"/>
        <w:keepLines w:val="0"/>
        <w:pageBreakBefore w:val="0"/>
        <w:widowControl w:val="0"/>
        <w:numPr>
          <w:ilvl w:val="0"/>
          <w:numId w:val="0"/>
        </w:numPr>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本单位2024年度无政府性基金预算财政拨款收支。</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（六）国有资本经营预算财政拨款支出决算情况说明</w:t>
      </w:r>
    </w:p>
    <w:p>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本单位2024年度无国有资本经营预算财政拨款支出。</w:t>
      </w:r>
    </w:p>
    <w:p>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color w:val="auto"/>
          <w:sz w:val="32"/>
          <w:szCs w:val="32"/>
          <w:shd w:val="clear" w:color="auto" w:fill="auto"/>
        </w:rPr>
      </w:pPr>
      <w:r>
        <w:rPr>
          <w:rStyle w:val="8"/>
          <w:rFonts w:hint="eastAsia" w:ascii="方正黑体_GBK" w:hAnsi="方正黑体_GBK" w:eastAsia="方正黑体_GBK" w:cs="方正黑体_GBK"/>
          <w:b w:val="0"/>
          <w:bCs/>
          <w:color w:val="auto"/>
          <w:sz w:val="32"/>
          <w:szCs w:val="32"/>
          <w:shd w:val="clear" w:color="auto" w:fill="auto"/>
          <w:lang w:eastAsia="zh-CN"/>
        </w:rPr>
        <w:t>财政拨款</w:t>
      </w:r>
      <w:r>
        <w:rPr>
          <w:rStyle w:val="8"/>
          <w:rFonts w:hint="eastAsia" w:ascii="方正黑体_GBK" w:hAnsi="方正黑体_GBK" w:eastAsia="方正黑体_GBK" w:cs="方正黑体_GBK"/>
          <w:b w:val="0"/>
          <w:bCs/>
          <w:color w:val="auto"/>
          <w:sz w:val="32"/>
          <w:szCs w:val="32"/>
          <w:shd w:val="clear" w:color="auto" w:fill="auto"/>
        </w:rPr>
        <w:t>“三公”经费情况说明</w:t>
      </w:r>
    </w:p>
    <w:p>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4.84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万元，较年初预算数减少4.96万元，下降50.6%，主要原因是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严格执行中央八项规定</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。较上年支出数增加1.45万元，增长42.8%，主要原因是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车辆年久失修，维护保养费增加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公务车运行维护费</w:t>
      </w:r>
      <w:r>
        <w:rPr>
          <w:rFonts w:ascii="方正仿宋_GBK" w:hAnsi="方正仿宋_GBK" w:eastAsia="方正仿宋_GBK" w:cs="方正仿宋_GBK"/>
          <w:color w:val="000000" w:themeColor="text1"/>
          <w:sz w:val="32"/>
          <w:szCs w:val="32"/>
          <w14:textFill>
            <w14:solidFill>
              <w14:schemeClr w14:val="tx1"/>
            </w14:solidFill>
          </w14:textFill>
        </w:rPr>
        <w:t>4.84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车辆维修、保养、运行等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。费用支出较年初预算数减少4.96万元，下降50.6%，主要原因是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严格执行中央八项规定</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。较上年支出数增加1.45万元，增长42.8%，主要原因是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车辆年久失修，维护保养费增加。</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费用支出较年初预算数无增减，较上年支出数无增减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2.42</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其他需要说明的事项</w:t>
      </w:r>
    </w:p>
    <w:p>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1.86</w:t>
      </w:r>
      <w:r>
        <w:rPr>
          <w:rFonts w:ascii="方正仿宋_GBK" w:hAnsi="方正仿宋_GBK" w:eastAsia="方正仿宋_GBK" w:cs="方正仿宋_GBK"/>
          <w:sz w:val="32"/>
          <w:szCs w:val="32"/>
          <w:shd w:val="clear" w:color="auto" w:fill="FFFFFF"/>
        </w:rPr>
        <w:t>万元，与2023年度相比，减少1.38万元，下降42.6%，主要原因是</w:t>
      </w:r>
      <w:r>
        <w:rPr>
          <w:rFonts w:hint="eastAsia" w:ascii="方正仿宋_GBK" w:hAnsi="方正仿宋_GBK" w:eastAsia="方正仿宋_GBK" w:cs="方正仿宋_GBK"/>
          <w:sz w:val="32"/>
          <w:szCs w:val="32"/>
          <w:shd w:val="clear" w:color="auto" w:fill="FFFFFF"/>
          <w:lang w:eastAsia="zh-CN"/>
        </w:rPr>
        <w:t>本年度减少培训活动开展</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73.89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rPr>
        <w:t>办公费、水费、电费、邮电费、维修（护）费、委托业务费、其他商品服务费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机关运行经费较上年支出数减少20.09万元，下降21.4%，主要原因是</w:t>
      </w:r>
      <w:r>
        <w:rPr>
          <w:rFonts w:hint="eastAsia" w:ascii="方正仿宋_GBK" w:hAnsi="方正仿宋_GBK" w:eastAsia="方正仿宋_GBK" w:cs="方正仿宋_GBK"/>
          <w:color w:val="auto"/>
          <w:sz w:val="32"/>
          <w:szCs w:val="32"/>
          <w:shd w:val="clear" w:color="auto" w:fill="FFFFFF"/>
          <w:lang w:eastAsia="zh-CN"/>
        </w:rPr>
        <w:t>严格执行</w:t>
      </w:r>
      <w:r>
        <w:rPr>
          <w:rFonts w:hint="eastAsia" w:ascii="方正仿宋_GBK" w:hAnsi="方正仿宋_GBK" w:eastAsia="方正仿宋_GBK" w:cs="方正仿宋_GBK"/>
          <w:color w:val="auto"/>
          <w:sz w:val="32"/>
          <w:szCs w:val="32"/>
          <w:shd w:val="clear" w:color="auto" w:fill="FFFFFF"/>
        </w:rPr>
        <w:t>中央八项规定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厉行节约的要求，规范公务车管理及使用，严格管控“三公”经费及公用经费的开支。</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2642.05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2640.62</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2642.05万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2642.05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铜梁区双山镇高标准农田建设项目。</w:t>
      </w:r>
    </w:p>
    <w:p>
      <w:pPr>
        <w:pStyle w:val="10"/>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21</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21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527.80</w:t>
      </w:r>
      <w:r>
        <w:rPr>
          <w:rFonts w:hint="eastAsia" w:ascii="方正仿宋_GBK" w:hAnsi="方正仿宋_GBK" w:eastAsia="方正仿宋_GBK" w:cs="方正仿宋_GBK"/>
          <w:kern w:val="0"/>
          <w:sz w:val="32"/>
          <w:szCs w:val="32"/>
          <w:shd w:val="clear" w:fill="FFFFFF"/>
        </w:rPr>
        <w:t>万元。</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val="0"/>
          <w:kern w:val="0"/>
          <w:sz w:val="32"/>
          <w:szCs w:val="32"/>
          <w:shd w:val="clear" w:fill="FFFFFF"/>
        </w:rPr>
      </w:pPr>
      <w:r>
        <w:rPr>
          <w:rFonts w:hint="eastAsia" w:ascii="楷体" w:hAnsi="楷体" w:eastAsia="方正楷体_GBK" w:cs="楷体"/>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3.关于绩效自评结果的说明。</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21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21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bidi="ar"/>
        </w:rPr>
        <w:t xml:space="preserve">我单位无财政重点绩效评价项目。    </w:t>
      </w:r>
      <w:r>
        <w:rPr>
          <w:rFonts w:hint="eastAsia" w:ascii="方正仿宋_GBK" w:hAnsi="方正仿宋_GBK" w:eastAsia="方正仿宋_GBK" w:cs="方正仿宋_GBK"/>
          <w:b/>
          <w:bCs/>
          <w:kern w:val="0"/>
          <w:sz w:val="32"/>
          <w:szCs w:val="32"/>
          <w:shd w:val="clear" w:fill="FFFFFF"/>
          <w:lang w:val="en-US" w:eastAsia="zh-CN"/>
        </w:rPr>
        <w:t xml:space="preserve">  </w:t>
      </w:r>
    </w:p>
    <w:p>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方正黑体_GBK" w:cs="黑体"/>
          <w:b w:val="0"/>
          <w:bCs/>
          <w:sz w:val="32"/>
          <w:szCs w:val="32"/>
          <w:shd w:val="clear" w:color="auto" w:fill="FFFFFF"/>
          <w:lang w:val="en-US" w:eastAsia="zh-CN" w:bidi="ar-SA"/>
        </w:rPr>
        <w:t>六、专业名词解释</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取得的财政拨款，包括一般公共预算财政拨款和政府性基金预算财政拨款。</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以外的同级单位取得的经费、从非本级财政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取得的经费，以及行政单位收到的财政专户管理资金反映在本项内。</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方正黑体_GBK" w:cs="黑体"/>
          <w:b w:val="0"/>
          <w:bCs/>
          <w:sz w:val="32"/>
          <w:szCs w:val="32"/>
          <w:shd w:val="clear" w:color="auto" w:fill="FFFFFF"/>
          <w:lang w:val="en-US" w:eastAsia="zh-CN" w:bidi="ar-SA"/>
        </w:rPr>
        <w:t>七、决算公开联系方式及信息反馈渠道</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汪子钦   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45218304</w:t>
      </w:r>
    </w:p>
    <w:p>
      <w:pPr>
        <w:pStyle w:val="9"/>
        <w:keepNext w:val="0"/>
        <w:keepLines w:val="0"/>
        <w:pageBreakBefore w:val="0"/>
        <w:widowControl w:val="0"/>
        <w:shd w:val="clear"/>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1"/>
          <w:rFonts w:hint="default" w:ascii="方正仿宋_GBK" w:hAnsi="方正仿宋_GBK" w:eastAsia="方正仿宋_GBK" w:cs="方正仿宋_GBK"/>
          <w:b/>
          <w:bCs/>
          <w:sz w:val="32"/>
          <w:szCs w:val="32"/>
          <w:shd w:val="clear" w:fill="FFFF00"/>
        </w:rPr>
      </w:pPr>
    </w:p>
    <w:sectPr>
      <w:headerReference r:id="rId3" w:type="default"/>
      <w:footerReference r:id="rId4" w:type="default"/>
      <w:pgSz w:w="11850" w:h="16783"/>
      <w:pgMar w:top="1440" w:right="1803" w:bottom="1440" w:left="1803"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F7534"/>
    <w:multiLevelType w:val="singleLevel"/>
    <w:tmpl w:val="441F753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338DB"/>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A43BF9"/>
    <w:rsid w:val="31BE24D6"/>
    <w:rsid w:val="31D84415"/>
    <w:rsid w:val="32285F6F"/>
    <w:rsid w:val="32770556"/>
    <w:rsid w:val="329C0913"/>
    <w:rsid w:val="3337290D"/>
    <w:rsid w:val="35110023"/>
    <w:rsid w:val="352930DB"/>
    <w:rsid w:val="35573069"/>
    <w:rsid w:val="358C217E"/>
    <w:rsid w:val="359E7284"/>
    <w:rsid w:val="359F188C"/>
    <w:rsid w:val="36C9128A"/>
    <w:rsid w:val="37841E99"/>
    <w:rsid w:val="379C594F"/>
    <w:rsid w:val="37BF1123"/>
    <w:rsid w:val="37C85E36"/>
    <w:rsid w:val="38BC1135"/>
    <w:rsid w:val="38BE4696"/>
    <w:rsid w:val="396E6805"/>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3FAC1619"/>
    <w:rsid w:val="4004000C"/>
    <w:rsid w:val="411B6CE5"/>
    <w:rsid w:val="412070D7"/>
    <w:rsid w:val="41314E40"/>
    <w:rsid w:val="415C674B"/>
    <w:rsid w:val="426C1EA8"/>
    <w:rsid w:val="42E86A87"/>
    <w:rsid w:val="43136432"/>
    <w:rsid w:val="43E55C5D"/>
    <w:rsid w:val="443A3B12"/>
    <w:rsid w:val="44487B36"/>
    <w:rsid w:val="44EF6BE8"/>
    <w:rsid w:val="45A30364"/>
    <w:rsid w:val="465B470D"/>
    <w:rsid w:val="469D6AD4"/>
    <w:rsid w:val="47674801"/>
    <w:rsid w:val="48225EF7"/>
    <w:rsid w:val="48647BB8"/>
    <w:rsid w:val="48A36D47"/>
    <w:rsid w:val="495C4A24"/>
    <w:rsid w:val="49A21DF3"/>
    <w:rsid w:val="49C811E4"/>
    <w:rsid w:val="4A216E30"/>
    <w:rsid w:val="4B7951CB"/>
    <w:rsid w:val="4B7C315C"/>
    <w:rsid w:val="4B9300D7"/>
    <w:rsid w:val="4BAB7F90"/>
    <w:rsid w:val="4BD53EDA"/>
    <w:rsid w:val="4BE11807"/>
    <w:rsid w:val="4C484CE5"/>
    <w:rsid w:val="4CA47D3F"/>
    <w:rsid w:val="4DAC4ACA"/>
    <w:rsid w:val="4DD06F63"/>
    <w:rsid w:val="4E043596"/>
    <w:rsid w:val="4E9B0C57"/>
    <w:rsid w:val="4EA8523F"/>
    <w:rsid w:val="4F186D58"/>
    <w:rsid w:val="4F224836"/>
    <w:rsid w:val="51760217"/>
    <w:rsid w:val="51E36677"/>
    <w:rsid w:val="51F01F7D"/>
    <w:rsid w:val="522F6E0C"/>
    <w:rsid w:val="52463BA1"/>
    <w:rsid w:val="529F078E"/>
    <w:rsid w:val="52C26F35"/>
    <w:rsid w:val="53C0244D"/>
    <w:rsid w:val="53DD4D4E"/>
    <w:rsid w:val="53E578CE"/>
    <w:rsid w:val="53EA10F5"/>
    <w:rsid w:val="541768A0"/>
    <w:rsid w:val="542045DB"/>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911794"/>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579E7A"/>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5310</Words>
  <Characters>5926</Characters>
  <Lines>161</Lines>
  <Paragraphs>45</Paragraphs>
  <TotalTime>7</TotalTime>
  <ScaleCrop>false</ScaleCrop>
  <LinksUpToDate>false</LinksUpToDate>
  <CharactersWithSpaces>5941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dcterms:modified xsi:type="dcterms:W3CDTF">2026-03-17T11:48:46Z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43902CC44730AE081ECFB869A3A79CB3_43</vt:lpwstr>
  </property>
  <property fmtid="{D5CDD505-2E9C-101B-9397-08002B2CF9AE}" pid="4" name="KSOTemplateDocerSaveRecord">
    <vt:lpwstr>eyJoZGlkIjoiNWRiYzhhNTgyZmY5OGQ2ZGY4N2EwYTg2ZmZmYWRjN2QiLCJ1c2VySWQiOiIyNzQ2OTgwNiJ9</vt:lpwstr>
  </property>
</Properties>
</file>