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92FB">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重庆市铜梁区石鱼镇农业服务中心</w:t>
      </w:r>
    </w:p>
    <w:p w14:paraId="6FFBB03F">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FFFFFF"/>
        </w:rPr>
      </w:pPr>
      <w:r>
        <w:rPr>
          <w:rFonts w:hint="default" w:ascii="Times New Roman" w:hAnsi="Times New Roman" w:eastAsia="方正小标宋简体" w:cs="Times New Roman"/>
          <w:sz w:val="44"/>
          <w:szCs w:val="44"/>
          <w:shd w:val="clear" w:color="auto" w:fill="FFFFFF"/>
        </w:rPr>
        <w:t>2024年度决算公开说明</w:t>
      </w:r>
    </w:p>
    <w:p w14:paraId="398AC188">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sz w:val="44"/>
          <w:szCs w:val="44"/>
          <w:shd w:val="clear" w:color="auto" w:fill="FFFFFF"/>
        </w:rPr>
      </w:pPr>
      <w:bookmarkStart w:id="0" w:name="_GoBack"/>
      <w:bookmarkEnd w:id="0"/>
    </w:p>
    <w:p w14:paraId="499C50E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sz w:val="32"/>
          <w:szCs w:val="32"/>
          <w:shd w:val="clear" w:color="auto" w:fill="auto"/>
        </w:rPr>
      </w:pPr>
      <w:r>
        <w:rPr>
          <w:rStyle w:val="8"/>
          <w:rFonts w:hint="default" w:ascii="Times New Roman" w:hAnsi="Times New Roman" w:eastAsia="方正黑体简体" w:cs="Times New Roman"/>
          <w:b w:val="0"/>
          <w:bCs/>
          <w:sz w:val="32"/>
          <w:szCs w:val="32"/>
          <w:shd w:val="clear" w:color="auto" w:fill="auto"/>
        </w:rPr>
        <w:t>一、</w:t>
      </w:r>
      <w:r>
        <w:rPr>
          <w:rStyle w:val="8"/>
          <w:rFonts w:hint="default" w:ascii="Times New Roman" w:hAnsi="Times New Roman" w:eastAsia="方正黑体简体" w:cs="Times New Roman"/>
          <w:b w:val="0"/>
          <w:bCs/>
          <w:sz w:val="32"/>
          <w:szCs w:val="32"/>
          <w:shd w:val="clear" w:color="auto" w:fill="auto"/>
          <w:lang w:eastAsia="zh-CN"/>
        </w:rPr>
        <w:t>单位</w:t>
      </w:r>
      <w:r>
        <w:rPr>
          <w:rStyle w:val="8"/>
          <w:rFonts w:hint="default" w:ascii="Times New Roman" w:hAnsi="Times New Roman" w:eastAsia="方正黑体简体" w:cs="Times New Roman"/>
          <w:b w:val="0"/>
          <w:bCs/>
          <w:sz w:val="32"/>
          <w:szCs w:val="32"/>
          <w:shd w:val="clear" w:color="auto" w:fill="auto"/>
        </w:rPr>
        <w:t>基本情况</w:t>
      </w:r>
    </w:p>
    <w:p w14:paraId="4493C466">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（一）职能职责</w:t>
      </w:r>
    </w:p>
    <w:p w14:paraId="5C90E63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重庆市铜梁区石鱼镇农业服务中心</w:t>
      </w:r>
      <w:r>
        <w:rPr>
          <w:rFonts w:hint="default" w:ascii="Times New Roman" w:hAnsi="Times New Roman" w:eastAsia="方正仿宋简体" w:cs="Times New Roman"/>
          <w:b w:val="0"/>
          <w:bCs/>
          <w:color w:val="auto"/>
          <w:sz w:val="32"/>
          <w:szCs w:val="32"/>
          <w:shd w:val="clear" w:color="auto" w:fill="auto"/>
          <w:lang w:eastAsia="zh-CN"/>
        </w:rPr>
        <w:t>主要职能职责是，负责</w:t>
      </w:r>
      <w:r>
        <w:rPr>
          <w:rFonts w:hint="default" w:ascii="Times New Roman" w:hAnsi="Times New Roman" w:eastAsia="方正仿宋简体" w:cs="Times New Roman"/>
          <w:b w:val="0"/>
          <w:bCs/>
          <w:color w:val="auto"/>
          <w:sz w:val="32"/>
          <w:szCs w:val="32"/>
          <w:shd w:val="clear" w:color="auto" w:fill="auto"/>
        </w:rPr>
        <w:t>推广农业技术，促进农业发展。农技、农机、林业、畜牧、水利水保、水产等方面的重大技术推广</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信息服务</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资源保护</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灾害防治</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农产品质量安全监测和监测。</w:t>
      </w:r>
    </w:p>
    <w:p w14:paraId="3EBF9910">
      <w:pPr>
        <w:pStyle w:val="5"/>
        <w:keepNext w:val="0"/>
        <w:keepLines w:val="0"/>
        <w:pageBreakBefore w:val="0"/>
        <w:widowControl/>
        <w:numPr>
          <w:ilvl w:val="0"/>
          <w:numId w:val="1"/>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8"/>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机构设置</w:t>
      </w:r>
    </w:p>
    <w:p w14:paraId="05EE16D8">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rPr>
        <w:t>重庆市铜梁区石鱼镇农业服务中心</w:t>
      </w:r>
      <w:r>
        <w:rPr>
          <w:rFonts w:hint="default" w:ascii="Times New Roman" w:hAnsi="Times New Roman" w:eastAsia="方正仿宋简体" w:cs="Times New Roman"/>
          <w:b w:val="0"/>
          <w:bCs/>
          <w:color w:val="auto"/>
          <w:sz w:val="32"/>
          <w:szCs w:val="32"/>
          <w:shd w:val="clear" w:color="auto" w:fill="auto"/>
          <w:lang w:eastAsia="zh-CN"/>
        </w:rPr>
        <w:t>核定事业编制为</w:t>
      </w:r>
      <w:r>
        <w:rPr>
          <w:rFonts w:hint="default" w:ascii="Times New Roman" w:hAnsi="Times New Roman" w:eastAsia="方正仿宋简体" w:cs="Times New Roman"/>
          <w:b w:val="0"/>
          <w:bCs/>
          <w:color w:val="auto"/>
          <w:sz w:val="32"/>
          <w:szCs w:val="32"/>
          <w:shd w:val="clear" w:color="auto" w:fill="auto"/>
          <w:lang w:val="en-US" w:eastAsia="zh-CN"/>
        </w:rPr>
        <w:t>13人，年末实有人数为12人。</w:t>
      </w:r>
    </w:p>
    <w:p w14:paraId="78E4A76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二、</w:t>
      </w:r>
      <w:r>
        <w:rPr>
          <w:rStyle w:val="8"/>
          <w:rFonts w:hint="default" w:ascii="Times New Roman" w:hAnsi="Times New Roman" w:eastAsia="方正黑体简体" w:cs="Times New Roman"/>
          <w:b w:val="0"/>
          <w:bCs/>
          <w:color w:val="auto"/>
          <w:sz w:val="32"/>
          <w:szCs w:val="32"/>
          <w:shd w:val="clear" w:color="auto" w:fill="auto"/>
          <w:lang w:eastAsia="zh-CN"/>
        </w:rPr>
        <w:t>单位</w:t>
      </w:r>
      <w:r>
        <w:rPr>
          <w:rStyle w:val="8"/>
          <w:rFonts w:hint="default" w:ascii="Times New Roman" w:hAnsi="Times New Roman" w:eastAsia="方正黑体简体" w:cs="Times New Roman"/>
          <w:b w:val="0"/>
          <w:bCs/>
          <w:color w:val="auto"/>
          <w:sz w:val="32"/>
          <w:szCs w:val="32"/>
          <w:shd w:val="clear" w:color="auto" w:fill="auto"/>
        </w:rPr>
        <w:t>决算</w:t>
      </w:r>
      <w:r>
        <w:rPr>
          <w:rStyle w:val="8"/>
          <w:rFonts w:hint="default" w:ascii="Times New Roman" w:hAnsi="Times New Roman" w:eastAsia="方正黑体简体" w:cs="Times New Roman"/>
          <w:b w:val="0"/>
          <w:bCs/>
          <w:color w:val="auto"/>
          <w:sz w:val="32"/>
          <w:szCs w:val="32"/>
          <w:shd w:val="clear" w:color="auto" w:fill="auto"/>
          <w:lang w:eastAsia="zh-CN"/>
        </w:rPr>
        <w:t>收支</w:t>
      </w:r>
      <w:r>
        <w:rPr>
          <w:rStyle w:val="8"/>
          <w:rFonts w:hint="default" w:ascii="Times New Roman" w:hAnsi="Times New Roman" w:eastAsia="方正黑体简体" w:cs="Times New Roman"/>
          <w:b w:val="0"/>
          <w:bCs/>
          <w:color w:val="auto"/>
          <w:sz w:val="32"/>
          <w:szCs w:val="32"/>
          <w:shd w:val="clear" w:color="auto" w:fill="auto"/>
        </w:rPr>
        <w:t>情况说明</w:t>
      </w:r>
    </w:p>
    <w:p w14:paraId="12F3E6B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（一）收入支出决算总体情况说明。</w:t>
      </w:r>
    </w:p>
    <w:p w14:paraId="0409E609">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b w:val="0"/>
          <w:bCs/>
          <w:color w:val="auto"/>
          <w:sz w:val="32"/>
          <w:szCs w:val="32"/>
          <w:shd w:val="clear" w:color="auto" w:fill="auto"/>
          <w:lang w:eastAsia="zh-CN"/>
        </w:rPr>
      </w:pPr>
      <w:r>
        <w:rPr>
          <w:rStyle w:val="8"/>
          <w:rFonts w:hint="default" w:ascii="Times New Roman" w:hAnsi="Times New Roman" w:eastAsia="方正仿宋简体" w:cs="Times New Roman"/>
          <w:b/>
          <w:bCs w:val="0"/>
          <w:color w:val="auto"/>
          <w:sz w:val="32"/>
          <w:szCs w:val="32"/>
          <w:shd w:val="clear" w:color="auto" w:fill="auto"/>
        </w:rPr>
        <w:t>1.总体情况。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度收入总计359.36万元，支出总计359.36万元。收、支与2023年度相比，增加359.36万元，增长100.0%，主要原因是2024年根据区财政局相关要求，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61580150">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2.收入情况。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度收入合计359.36万元，与2023年度相比，增加359.36万元，增长100.0%，主要原因是2024年根据区财政局相关要求，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其中：财政拨款收入359.36万元，占100.00%；事业收入0.00万元，占0.00%；经营收入0.00万元，占0.00%；其他收入0.00万元，占0.00%。此外，使用非财政拨款结余和专用结余0.00万元，年初结转和结余0.00万元。</w:t>
      </w:r>
    </w:p>
    <w:p w14:paraId="012DE935">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3.支出情况。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度支出合计359.36万元，与2023年度相比，增加359.36万元，增长100.0%，主要原因是2024年根据区财政局相关要求，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其中：基本支出352.81万元，占98.18%；项目支出6.54万元，占1.82%；经营支出0.00万元，占0.00%。此外，结余分配0.00万元。</w:t>
      </w:r>
    </w:p>
    <w:p w14:paraId="701E1CC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4.结转结余情况。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度年末结转和结余0.00万元，与2023年度相比，无增减，主要原因是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60A624B4">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（二）财政拨款收入支出决算总体情况说明</w:t>
      </w:r>
    </w:p>
    <w:p w14:paraId="3817173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度财政拨款收、支总计359.36万元。与202</w:t>
      </w:r>
      <w:r>
        <w:rPr>
          <w:rFonts w:hint="default" w:ascii="Times New Roman" w:hAnsi="Times New Roman" w:eastAsia="方正仿宋简体" w:cs="Times New Roman"/>
          <w:b w:val="0"/>
          <w:bCs/>
          <w:color w:val="auto"/>
          <w:sz w:val="32"/>
          <w:szCs w:val="32"/>
          <w:shd w:val="clear" w:color="auto" w:fill="auto"/>
          <w:lang w:val="en-US" w:eastAsia="zh-CN"/>
        </w:rPr>
        <w:t>3</w:t>
      </w:r>
      <w:r>
        <w:rPr>
          <w:rFonts w:hint="default" w:ascii="Times New Roman" w:hAnsi="Times New Roman" w:eastAsia="方正仿宋简体" w:cs="Times New Roman"/>
          <w:b w:val="0"/>
          <w:bCs/>
          <w:color w:val="auto"/>
          <w:sz w:val="32"/>
          <w:szCs w:val="32"/>
          <w:shd w:val="clear" w:color="auto" w:fill="auto"/>
        </w:rPr>
        <w:t>年相比，财政拨款收、支总计各增加359.36万元，增长100.0%。主要原因是2024年根据区财政局相关要求，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21F2BBA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（三）一般公共预算财政拨款收入支出决算情况说明</w:t>
      </w:r>
    </w:p>
    <w:p w14:paraId="0988F3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1.收入情况。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度一般公共预算财政拨款收入359.36万元，与2023年度相比，增加359.36万元，增长100.0%。主要原因是2024年根据区财政局相关要求，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。较年初预算数减少46.37万元，下降11.4%。主要原因是我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切实履行过紧日子的相关要求，压减辖区各项开支，同时对辖区各项目的开展进行严格监管，减少非必要的支出。此外，年初财政拨款结转和结余0.00万元。</w:t>
      </w:r>
    </w:p>
    <w:p w14:paraId="73BB3EE9">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2.支出情况。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度一般公共预算财政拨款支出359.36万元，与2023年度相比，增加359.36万元，增长100.0%。主要原因是2024年根据区财政局相关要求，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。较年初预算数减少46.37万元，下降11.4%。主要原因是我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D9A3F2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3.结转结余情况。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度年末一般公共预算财政拨款结转和结余0.00万元，与2023年度相比，无增减，主要原因是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7226696A">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 xml:space="preserve"> 4.比较情况。</w:t>
      </w:r>
      <w:r>
        <w:rPr>
          <w:rFonts w:hint="default" w:ascii="Times New Roman" w:hAnsi="Times New Roman" w:eastAsia="方正仿宋简体" w:cs="Times New Roman"/>
          <w:b w:val="0"/>
          <w:bCs/>
          <w:color w:val="auto"/>
          <w:sz w:val="32"/>
          <w:szCs w:val="32"/>
          <w:shd w:val="clear" w:color="auto" w:fill="auto"/>
        </w:rPr>
        <w:t>本单位</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度一般公共预算财政拨款支出主要用于以下几个方面：</w:t>
      </w:r>
    </w:p>
    <w:p w14:paraId="5066C9B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（1）社会保障与就业支出64.36万元，占17.91%，较年初预算数减少0.29万元，下降0.5%，主要原因是重庆市铜梁区石鱼镇农业服务中心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val="en-US" w:eastAsia="zh-CN"/>
        </w:rPr>
        <w:t>2024年有2名退休人员</w:t>
      </w:r>
      <w:r>
        <w:rPr>
          <w:rFonts w:hint="default" w:ascii="Times New Roman" w:hAnsi="Times New Roman" w:eastAsia="方正仿宋简体" w:cs="Times New Roman"/>
          <w:b w:val="0"/>
          <w:bCs/>
          <w:color w:val="auto"/>
          <w:sz w:val="32"/>
          <w:szCs w:val="32"/>
          <w:shd w:val="clear" w:color="auto" w:fill="auto"/>
        </w:rPr>
        <w:t>。</w:t>
      </w:r>
    </w:p>
    <w:p w14:paraId="62732DD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2</w:t>
      </w:r>
      <w:r>
        <w:rPr>
          <w:rFonts w:hint="default" w:ascii="Times New Roman" w:hAnsi="Times New Roman" w:eastAsia="方正仿宋简体" w:cs="Times New Roman"/>
          <w:b w:val="0"/>
          <w:bCs/>
          <w:color w:val="auto"/>
          <w:sz w:val="32"/>
          <w:szCs w:val="32"/>
          <w:shd w:val="clear" w:color="auto" w:fill="auto"/>
        </w:rPr>
        <w:t>）卫生健康支出12.68万元，占3.53%，较年初预算数减少7.03万元，下降35.7%，主要原因是重庆市铜梁区石鱼镇农业服务中心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val="en-US" w:eastAsia="zh-CN"/>
        </w:rPr>
        <w:t>2024年有2名退休人员</w:t>
      </w:r>
      <w:r>
        <w:rPr>
          <w:rFonts w:hint="default" w:ascii="Times New Roman" w:hAnsi="Times New Roman" w:eastAsia="方正仿宋简体" w:cs="Times New Roman"/>
          <w:b w:val="0"/>
          <w:bCs/>
          <w:color w:val="auto"/>
          <w:sz w:val="32"/>
          <w:szCs w:val="32"/>
          <w:shd w:val="clear" w:color="auto" w:fill="auto"/>
        </w:rPr>
        <w:t>。</w:t>
      </w:r>
    </w:p>
    <w:p w14:paraId="19C441D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3</w:t>
      </w:r>
      <w:r>
        <w:rPr>
          <w:rFonts w:hint="default" w:ascii="Times New Roman" w:hAnsi="Times New Roman" w:eastAsia="方正仿宋简体" w:cs="Times New Roman"/>
          <w:b w:val="0"/>
          <w:bCs/>
          <w:color w:val="auto"/>
          <w:sz w:val="32"/>
          <w:szCs w:val="32"/>
          <w:shd w:val="clear" w:color="auto" w:fill="auto"/>
        </w:rPr>
        <w:t>）农林水支出268.12万元，占74.61%，较年初预算数减少38.03万元，下降12.4%，主要原因是重庆市铜梁区石鱼镇农业服务中心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val="en-US" w:eastAsia="zh-CN"/>
        </w:rPr>
        <w:t>2024年有2名退休人员</w:t>
      </w:r>
      <w:r>
        <w:rPr>
          <w:rFonts w:hint="default" w:ascii="Times New Roman" w:hAnsi="Times New Roman" w:eastAsia="方正仿宋简体" w:cs="Times New Roman"/>
          <w:b w:val="0"/>
          <w:bCs/>
          <w:color w:val="auto"/>
          <w:sz w:val="32"/>
          <w:szCs w:val="32"/>
          <w:shd w:val="clear" w:color="auto" w:fill="auto"/>
        </w:rPr>
        <w:t>。</w:t>
      </w:r>
    </w:p>
    <w:p w14:paraId="02E0E1A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）住房保障支出14.20万元，占3.95%，较年初预算数减少1.02万元，下降6.7%，主要原因是重庆市铜梁区石鱼镇农业服务中心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val="en-US" w:eastAsia="zh-CN"/>
        </w:rPr>
        <w:t>2024年有2名退休人员</w:t>
      </w:r>
      <w:r>
        <w:rPr>
          <w:rFonts w:hint="default" w:ascii="Times New Roman" w:hAnsi="Times New Roman" w:eastAsia="方正仿宋简体" w:cs="Times New Roman"/>
          <w:b w:val="0"/>
          <w:bCs/>
          <w:color w:val="auto"/>
          <w:sz w:val="32"/>
          <w:szCs w:val="32"/>
          <w:shd w:val="clear" w:color="auto" w:fill="auto"/>
        </w:rPr>
        <w:t>。</w:t>
      </w:r>
    </w:p>
    <w:p w14:paraId="7045EC65">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（四）一般公共预算财政拨款基本支出决算情况说明</w:t>
      </w:r>
    </w:p>
    <w:p w14:paraId="02D8960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 </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度一般公共财政拨款基本支出352.81万元。其中：人员经费314.70万元，与2023年度相比，增加314.70万元，增长100.0%，主要原因是2024年根据区财政局相关要求，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公用经费38.11万元，与2023年度相比，增加38.11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将下属事业单位划分为重庆市铜梁区石鱼镇农业服务中心等7个账套单独核算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473CB68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（五）政府性基金预算收支决算情况说明</w:t>
      </w:r>
    </w:p>
    <w:p w14:paraId="01D354C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度无政府性基金预算财政拨款收支。</w:t>
      </w:r>
    </w:p>
    <w:p w14:paraId="0B86959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（六）国有资本经营预算财政拨款支出决算情况说明</w:t>
      </w:r>
    </w:p>
    <w:p w14:paraId="7A15402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度无国有资本经营预算财政拨款支出。</w:t>
      </w:r>
    </w:p>
    <w:p w14:paraId="0FAF161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0295670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50CF942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eastAsia="zh-CN"/>
        </w:rPr>
        <w:t>是石鱼镇人民政府下属单位，“三公”经费主要体现在石鱼镇人民政府（本级），本单位未涉及“三公”经费支出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。较上年支出数无增减，主要原因是重庆市铜梁区石鱼镇农业服务中心</w:t>
      </w:r>
      <w:r>
        <w:rPr>
          <w:rFonts w:hint="default" w:ascii="Times New Roman" w:hAnsi="Times New Roman" w:eastAsia="方正仿宋简体" w:cs="Times New Roman"/>
          <w:b w:val="0"/>
          <w:bCs/>
          <w:color w:val="auto"/>
          <w:sz w:val="32"/>
          <w:szCs w:val="32"/>
          <w:shd w:val="clear" w:color="auto" w:fill="auto"/>
          <w:lang w:eastAsia="zh-CN"/>
        </w:rPr>
        <w:t>是石鱼镇人民政府下属单位，“三公”经费主要体现在石鱼镇人民政府（本级），本单位未涉及“三公”经费支出</w:t>
      </w:r>
      <w:r>
        <w:rPr>
          <w:rFonts w:hint="default" w:ascii="Times New Roman" w:hAnsi="Times New Roman" w:eastAsia="方正仿宋简体" w:cs="Times New Roman"/>
          <w:b w:val="0"/>
          <w:bCs/>
          <w:color w:val="auto"/>
          <w:sz w:val="32"/>
          <w:szCs w:val="32"/>
          <w:shd w:val="clear" w:color="auto" w:fill="auto"/>
        </w:rPr>
        <w:t>。</w:t>
      </w:r>
    </w:p>
    <w:p w14:paraId="6D0B2FC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4E8D787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w:t>
      </w:r>
      <w:r>
        <w:rPr>
          <w:rFonts w:hint="default" w:ascii="Times New Roman" w:hAnsi="Times New Roman" w:eastAsia="方正仿宋简体" w:cs="Times New Roman"/>
          <w:b w:val="0"/>
          <w:bCs/>
          <w:color w:val="auto"/>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0263861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3A84395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064E7BB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49CA64A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2A2E7D9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1C6AE2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51CD114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7429986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AC19A61">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3CDA084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default"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w:t>
      </w:r>
      <w:r>
        <w:rPr>
          <w:rFonts w:hint="default" w:ascii="Times New Roman" w:hAnsi="Times New Roman" w:eastAsia="方正仿宋简体" w:cs="Times New Roman"/>
          <w:b w:val="0"/>
          <w:bCs/>
          <w:color w:val="auto"/>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E15BCCC">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76933E1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5863833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73F94952">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p>
    <w:p w14:paraId="4F6184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6F3C8FB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color w:val="auto"/>
          <w:kern w:val="0"/>
          <w:sz w:val="32"/>
          <w:szCs w:val="32"/>
          <w:shd w:val="clear" w:color="auto" w:fill="auto"/>
        </w:rPr>
      </w:pPr>
      <w:r>
        <w:rPr>
          <w:rFonts w:hint="default" w:ascii="Times New Roman" w:hAnsi="Times New Roman" w:eastAsia="方正楷体简体" w:cs="Times New Roman"/>
          <w:b w:val="0"/>
          <w:bCs/>
          <w:color w:val="auto"/>
          <w:kern w:val="0"/>
          <w:sz w:val="32"/>
          <w:szCs w:val="32"/>
          <w:shd w:val="clear" w:color="auto" w:fill="auto"/>
        </w:rPr>
        <w:t>（一）预算绩效管理工作开展情况</w:t>
      </w:r>
    </w:p>
    <w:p w14:paraId="2CC4FC5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根据预算绩效管理要求，我单位对</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项，涉及资金</w:t>
      </w:r>
      <w:r>
        <w:rPr>
          <w:rFonts w:hint="default" w:ascii="Times New Roman" w:hAnsi="Times New Roman" w:eastAsia="方正仿宋简体" w:cs="Times New Roman"/>
          <w:b w:val="0"/>
          <w:bCs/>
          <w:color w:val="auto"/>
          <w:kern w:val="0"/>
          <w:sz w:val="32"/>
          <w:szCs w:val="32"/>
          <w:shd w:val="clear" w:color="auto" w:fill="auto"/>
          <w:lang w:val="en-US" w:eastAsia="zh-CN"/>
        </w:rPr>
        <w:t>6.54</w:t>
      </w:r>
      <w:r>
        <w:rPr>
          <w:rFonts w:hint="default" w:ascii="Times New Roman" w:hAnsi="Times New Roman" w:eastAsia="方正仿宋简体" w:cs="Times New Roman"/>
          <w:b w:val="0"/>
          <w:bCs/>
          <w:color w:val="auto"/>
          <w:kern w:val="0"/>
          <w:sz w:val="32"/>
          <w:szCs w:val="32"/>
          <w:shd w:val="clear" w:color="auto" w:fill="auto"/>
        </w:rPr>
        <w:t>万元。</w:t>
      </w:r>
    </w:p>
    <w:p w14:paraId="4A70877E">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color w:val="auto"/>
          <w:kern w:val="0"/>
          <w:sz w:val="32"/>
          <w:szCs w:val="32"/>
          <w:shd w:val="clear" w:color="auto" w:fill="auto"/>
        </w:rPr>
      </w:pPr>
      <w:r>
        <w:rPr>
          <w:rFonts w:hint="default" w:ascii="Times New Roman" w:hAnsi="Times New Roman" w:eastAsia="方正楷体简体" w:cs="Times New Roman"/>
          <w:b w:val="0"/>
          <w:bCs/>
          <w:color w:val="auto"/>
          <w:kern w:val="0"/>
          <w:sz w:val="32"/>
          <w:szCs w:val="32"/>
          <w:shd w:val="clear" w:color="auto" w:fill="auto"/>
        </w:rPr>
        <w:t>（二）绩效自评结果</w:t>
      </w:r>
    </w:p>
    <w:p w14:paraId="7599585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1.项目绩效自评表。</w:t>
      </w:r>
    </w:p>
    <w:p w14:paraId="66E3759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详见附件。</w:t>
      </w:r>
    </w:p>
    <w:p w14:paraId="1DAB19DE">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2.项目绩效自评报告或案例。</w:t>
      </w:r>
    </w:p>
    <w:p w14:paraId="0F179DE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我单位未委托第三方开展绩效评价。</w:t>
      </w:r>
    </w:p>
    <w:p w14:paraId="4919A359">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3.关于绩效自评结果的说明。</w:t>
      </w:r>
    </w:p>
    <w:p w14:paraId="1C8135E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color w:val="auto"/>
          <w:kern w:val="0"/>
          <w:sz w:val="32"/>
          <w:szCs w:val="32"/>
          <w:shd w:val="clear" w:color="auto" w:fill="auto"/>
        </w:rPr>
        <w:t>我单位对</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项目进行绩效自评，其中</w:t>
      </w:r>
      <w:r>
        <w:rPr>
          <w:rFonts w:hint="default" w:ascii="Times New Roman" w:hAnsi="Times New Roman" w:eastAsia="方正仿宋简体" w:cs="Times New Roman"/>
          <w:b w:val="0"/>
          <w:bCs/>
          <w:color w:val="auto"/>
          <w:kern w:val="0"/>
          <w:sz w:val="32"/>
          <w:szCs w:val="32"/>
          <w:shd w:val="clear" w:color="auto" w:fill="auto"/>
          <w:lang w:val="en-US" w:eastAsia="zh-CN"/>
        </w:rPr>
        <w:t>1</w:t>
      </w:r>
      <w:r>
        <w:rPr>
          <w:rFonts w:hint="default" w:ascii="Times New Roman" w:hAnsi="Times New Roman" w:eastAsia="方正仿宋简体" w:cs="Times New Roman"/>
          <w:b w:val="0"/>
          <w:bCs/>
          <w:color w:val="auto"/>
          <w:kern w:val="0"/>
          <w:sz w:val="32"/>
          <w:szCs w:val="32"/>
          <w:shd w:val="clear" w:color="auto" w:fill="auto"/>
        </w:rPr>
        <w:t>个已完成年度绩效目标。</w:t>
      </w:r>
    </w:p>
    <w:p w14:paraId="074A4C51">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color w:val="auto"/>
          <w:kern w:val="0"/>
          <w:sz w:val="32"/>
          <w:szCs w:val="32"/>
          <w:shd w:val="clear" w:color="auto" w:fill="auto"/>
          <w:lang w:val="en-US" w:eastAsia="zh-CN" w:bidi="ar"/>
        </w:rPr>
      </w:pPr>
      <w:r>
        <w:rPr>
          <w:rFonts w:hint="default" w:ascii="Times New Roman" w:hAnsi="Times New Roman" w:eastAsia="方正楷体简体" w:cs="Times New Roman"/>
          <w:b w:val="0"/>
          <w:bCs/>
          <w:color w:val="auto"/>
          <w:kern w:val="0"/>
          <w:sz w:val="32"/>
          <w:szCs w:val="32"/>
          <w:shd w:val="clear" w:color="auto" w:fill="auto"/>
          <w:lang w:val="en-US" w:eastAsia="zh-CN" w:bidi="ar"/>
        </w:rPr>
        <w:t xml:space="preserve">（三）财政重点绩效评价情况 </w:t>
      </w:r>
    </w:p>
    <w:p w14:paraId="468A849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lang w:val="en-US" w:eastAsia="zh-CN"/>
        </w:rPr>
        <w:t>我单位无财政重点绩效评价项目。</w:t>
      </w:r>
    </w:p>
    <w:p w14:paraId="26703CEA">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b w:val="0"/>
          <w:bCs/>
          <w:color w:val="auto"/>
          <w:kern w:val="0"/>
          <w:sz w:val="32"/>
          <w:szCs w:val="32"/>
          <w:shd w:val="clear" w:color="auto" w:fill="auto"/>
        </w:rPr>
      </w:pPr>
      <w:r>
        <w:rPr>
          <w:rStyle w:val="11"/>
          <w:rFonts w:hint="default" w:ascii="Times New Roman" w:hAnsi="Times New Roman" w:eastAsia="方正黑体简体" w:cs="Times New Roman"/>
          <w:b w:val="0"/>
          <w:bCs/>
          <w:color w:val="auto"/>
          <w:sz w:val="32"/>
          <w:szCs w:val="32"/>
          <w:shd w:val="clear" w:color="auto" w:fill="auto"/>
        </w:rPr>
        <w:t xml:space="preserve"> </w:t>
      </w:r>
      <w:r>
        <w:rPr>
          <w:rStyle w:val="11"/>
          <w:rFonts w:hint="default" w:ascii="Times New Roman" w:hAnsi="Times New Roman" w:eastAsia="方正黑体简体" w:cs="Times New Roman"/>
          <w:b w:val="0"/>
          <w:bCs/>
          <w:color w:val="auto"/>
          <w:sz w:val="32"/>
          <w:szCs w:val="32"/>
          <w:shd w:val="clear" w:color="auto" w:fill="auto"/>
          <w:lang w:val="en-US" w:eastAsia="zh-CN"/>
        </w:rPr>
        <w:t xml:space="preserve">  </w:t>
      </w:r>
      <w:r>
        <w:rPr>
          <w:rStyle w:val="8"/>
          <w:rFonts w:hint="default" w:ascii="Times New Roman" w:hAnsi="Times New Roman" w:eastAsia="方正黑体简体" w:cs="Times New Roman"/>
          <w:b w:val="0"/>
          <w:bCs/>
          <w:color w:val="auto"/>
          <w:sz w:val="32"/>
          <w:szCs w:val="32"/>
          <w:shd w:val="clear" w:color="auto" w:fill="auto"/>
          <w:lang w:val="en-US" w:eastAsia="zh-CN" w:bidi="ar-SA"/>
        </w:rPr>
        <w:t xml:space="preserve"> 六、专业名词解释</w:t>
      </w:r>
    </w:p>
    <w:p w14:paraId="6C54F63D">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3784393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3EB77238">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599E637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4623B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681AA7F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021BD42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1A0086C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3963F49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AE92AA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2665A3F4">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4074F36A">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F894F2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E9109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30BABCA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rPr>
      </w:pPr>
      <w:r>
        <w:rPr>
          <w:rStyle w:val="8"/>
          <w:rFonts w:hint="default" w:ascii="Times New Roman" w:hAnsi="Times New Roman" w:eastAsia="方正仿宋简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简体" w:cs="Times New Roman"/>
          <w:kern w:val="0"/>
          <w:sz w:val="32"/>
          <w:szCs w:val="32"/>
          <w:shd w:val="clear" w:fill="FFFFFF"/>
        </w:rPr>
        <w:t>反映单位购买商品和服务的支出（不包括用于购置固定资产的支出、战略性和应急储备支出）。</w:t>
      </w:r>
    </w:p>
    <w:p w14:paraId="63F3B5A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rPr>
      </w:pPr>
      <w:r>
        <w:rPr>
          <w:rStyle w:val="8"/>
          <w:rFonts w:hint="default" w:ascii="Times New Roman" w:hAnsi="Times New Roman" w:eastAsia="方正仿宋简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简体" w:cs="Times New Roman"/>
          <w:kern w:val="0"/>
          <w:sz w:val="32"/>
          <w:szCs w:val="32"/>
          <w:shd w:val="clear" w:fill="FFFFFF"/>
        </w:rPr>
        <w:t>反映用于对个人和家庭的补助支出。</w:t>
      </w:r>
    </w:p>
    <w:p w14:paraId="70C46F7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kern w:val="0"/>
          <w:sz w:val="32"/>
          <w:szCs w:val="32"/>
        </w:rPr>
      </w:pPr>
      <w:r>
        <w:rPr>
          <w:rStyle w:val="8"/>
          <w:rFonts w:hint="default" w:ascii="Times New Roman" w:hAnsi="Times New Roman" w:eastAsia="方正仿宋简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简体"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B6804D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黑体简体" w:cs="Times New Roman"/>
          <w:kern w:val="0"/>
          <w:sz w:val="32"/>
          <w:szCs w:val="32"/>
        </w:rPr>
      </w:pPr>
      <w:r>
        <w:rPr>
          <w:rStyle w:val="8"/>
          <w:rFonts w:hint="default" w:ascii="Times New Roman" w:hAnsi="Times New Roman" w:eastAsia="方正黑体简体" w:cs="Times New Roman"/>
          <w:sz w:val="32"/>
          <w:szCs w:val="32"/>
          <w:shd w:val="clear" w:color="auto" w:fill="FFFFFF"/>
          <w:lang w:val="en-US" w:eastAsia="zh-CN" w:bidi="ar-SA"/>
        </w:rPr>
        <w:t>七、决算公开联系方式及信息反馈渠道</w:t>
      </w:r>
    </w:p>
    <w:p w14:paraId="4C1A23E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rPr>
      </w:pPr>
      <w:r>
        <w:rPr>
          <w:rFonts w:hint="default" w:ascii="Times New Roman" w:hAnsi="Times New Roman" w:eastAsia="方正仿宋简体" w:cs="Times New Roman"/>
          <w:b w:val="0"/>
          <w:bCs/>
          <w:kern w:val="0"/>
          <w:sz w:val="32"/>
          <w:szCs w:val="32"/>
          <w:shd w:val="clear" w:color="auto" w:fill="auto"/>
        </w:rPr>
        <w:t>本单位决算公开信息反馈和联系方式：</w:t>
      </w:r>
      <w:r>
        <w:rPr>
          <w:rFonts w:hint="default" w:ascii="Times New Roman" w:hAnsi="Times New Roman" w:eastAsia="方正仿宋简体" w:cs="Times New Roman"/>
          <w:b w:val="0"/>
          <w:bCs/>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 xml:space="preserve"> 0</w:t>
      </w:r>
      <w:r>
        <w:rPr>
          <w:rFonts w:hint="default" w:ascii="Times New Roman" w:hAnsi="Times New Roman" w:eastAsia="方正仿宋简体" w:cs="Times New Roman"/>
          <w:b w:val="0"/>
          <w:bCs/>
          <w:color w:val="auto"/>
          <w:kern w:val="0"/>
          <w:sz w:val="32"/>
          <w:szCs w:val="32"/>
          <w:shd w:val="clear" w:color="auto" w:fill="auto"/>
        </w:rPr>
        <w:t>23-45581186</w:t>
      </w:r>
    </w:p>
    <w:p w14:paraId="1DDCA9B0">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简体" w:cs="Times New Roman"/>
          <w:b w:val="0"/>
          <w:bCs/>
          <w:sz w:val="32"/>
          <w:szCs w:val="32"/>
          <w:shd w:val="clear" w:color="auto" w:fill="auto"/>
          <w:lang w:val="en-US" w:eastAsia="zh-CN"/>
        </w:rPr>
      </w:pPr>
      <w:r>
        <w:rPr>
          <w:rFonts w:hint="default" w:ascii="Times New Roman" w:hAnsi="Times New Roman" w:eastAsia="方正仿宋简体" w:cs="Times New Roman"/>
          <w:b w:val="0"/>
          <w:bCs/>
          <w:color w:val="FF0000"/>
          <w:kern w:val="0"/>
          <w:sz w:val="32"/>
          <w:szCs w:val="32"/>
          <w:shd w:val="clear" w:color="auto" w:fill="auto"/>
        </w:rPr>
        <w:t xml:space="preserve"> </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7B9E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FF972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8FF972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C04BF8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04BF8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A20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1A626"/>
    <w:multiLevelType w:val="singleLevel"/>
    <w:tmpl w:val="B031A6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DE47AD"/>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A740DC"/>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317F75"/>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112F54"/>
    <w:rsid w:val="692172FD"/>
    <w:rsid w:val="6A3829EE"/>
    <w:rsid w:val="6B474EF5"/>
    <w:rsid w:val="6C560CAE"/>
    <w:rsid w:val="6D0615E4"/>
    <w:rsid w:val="6D903FF5"/>
    <w:rsid w:val="6D9FD92A"/>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EB8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酸奶girl</cp:lastModifiedBy>
  <cp:lastPrinted>2025-10-29T11:13:59Z</cp:lastPrinted>
  <dcterms:modified xsi:type="dcterms:W3CDTF">2025-10-29T11:20:32Z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