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57790">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shd w:val="clear" w:color="auto" w:fill="auto"/>
        </w:rPr>
      </w:pPr>
      <w:r>
        <w:rPr>
          <w:rFonts w:hint="default" w:ascii="Times New Roman" w:hAnsi="Times New Roman" w:eastAsia="方正小标宋简体" w:cs="Times New Roman"/>
          <w:color w:val="auto"/>
          <w:sz w:val="44"/>
          <w:szCs w:val="44"/>
          <w:shd w:val="clear" w:color="auto" w:fill="auto"/>
        </w:rPr>
        <w:t>重庆市铜梁区石鱼镇乡村产业培育中心</w:t>
      </w:r>
    </w:p>
    <w:p w14:paraId="1D809BF4">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简体" w:cs="Times New Roman"/>
          <w:color w:val="auto"/>
          <w:sz w:val="44"/>
          <w:szCs w:val="44"/>
          <w:shd w:val="clear" w:color="auto" w:fill="auto"/>
        </w:rPr>
      </w:pPr>
      <w:r>
        <w:rPr>
          <w:rFonts w:hint="default" w:ascii="Times New Roman" w:hAnsi="Times New Roman" w:eastAsia="方正小标宋简体" w:cs="Times New Roman"/>
          <w:color w:val="auto"/>
          <w:sz w:val="44"/>
          <w:szCs w:val="44"/>
          <w:shd w:val="clear" w:color="auto" w:fill="auto"/>
        </w:rPr>
        <w:t>2024年度决算公开说明</w:t>
      </w:r>
    </w:p>
    <w:p w14:paraId="374BDB8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一、</w:t>
      </w:r>
      <w:r>
        <w:rPr>
          <w:rStyle w:val="8"/>
          <w:rFonts w:hint="default" w:ascii="Times New Roman" w:hAnsi="Times New Roman" w:eastAsia="方正黑体简体" w:cs="Times New Roman"/>
          <w:b w:val="0"/>
          <w:bCs/>
          <w:color w:val="auto"/>
          <w:sz w:val="32"/>
          <w:szCs w:val="32"/>
          <w:shd w:val="clear" w:color="auto" w:fill="auto"/>
          <w:lang w:eastAsia="zh-CN"/>
        </w:rPr>
        <w:t>单位</w:t>
      </w:r>
      <w:r>
        <w:rPr>
          <w:rStyle w:val="8"/>
          <w:rFonts w:hint="default" w:ascii="Times New Roman" w:hAnsi="Times New Roman" w:eastAsia="方正黑体简体" w:cs="Times New Roman"/>
          <w:b w:val="0"/>
          <w:bCs/>
          <w:color w:val="auto"/>
          <w:sz w:val="32"/>
          <w:szCs w:val="32"/>
          <w:shd w:val="clear" w:color="auto" w:fill="auto"/>
        </w:rPr>
        <w:t>基本情况</w:t>
      </w:r>
    </w:p>
    <w:p w14:paraId="092EB392">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楷体简体" w:cs="Times New Roman"/>
          <w:b w:val="0"/>
          <w:bCs/>
          <w:color w:val="auto"/>
          <w:sz w:val="32"/>
          <w:szCs w:val="32"/>
          <w:shd w:val="clear" w:color="auto" w:fill="auto"/>
        </w:rPr>
      </w:pPr>
      <w:r>
        <w:rPr>
          <w:rStyle w:val="8"/>
          <w:rFonts w:hint="default" w:ascii="Times New Roman" w:hAnsi="Times New Roman" w:eastAsia="方正楷体简体" w:cs="Times New Roman"/>
          <w:b w:val="0"/>
          <w:bCs/>
          <w:color w:val="auto"/>
          <w:sz w:val="32"/>
          <w:szCs w:val="32"/>
          <w:shd w:val="clear" w:color="auto" w:fill="auto"/>
        </w:rPr>
        <w:t>（一）职能职责</w:t>
      </w:r>
    </w:p>
    <w:p w14:paraId="75FF8663">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重庆市铜梁区石鱼镇乡村产业培育中心</w:t>
      </w:r>
      <w:r>
        <w:rPr>
          <w:rFonts w:hint="default" w:ascii="Times New Roman" w:hAnsi="Times New Roman" w:eastAsia="方正仿宋简体" w:cs="Times New Roman"/>
          <w:b w:val="0"/>
          <w:bCs/>
          <w:color w:val="auto"/>
          <w:sz w:val="32"/>
          <w:szCs w:val="32"/>
          <w:shd w:val="clear" w:color="auto" w:fill="auto"/>
          <w:lang w:eastAsia="zh-CN"/>
        </w:rPr>
        <w:t>的主要职能职责是，</w:t>
      </w:r>
      <w:r>
        <w:rPr>
          <w:rFonts w:hint="default" w:ascii="Times New Roman" w:hAnsi="Times New Roman" w:eastAsia="方正仿宋简体" w:cs="Times New Roman"/>
          <w:b w:val="0"/>
          <w:bCs/>
          <w:color w:val="auto"/>
          <w:sz w:val="32"/>
          <w:szCs w:val="32"/>
          <w:shd w:val="clear" w:color="auto" w:fill="auto"/>
        </w:rPr>
        <w:t>为乡村产业发展提供服务保障。承担产业规划、引进培育等工作，提振乡村经济发展，承担各类招商项目洽谈、推介活动等投资促进具体工作，承担扶贫开发等事务性工作。</w:t>
      </w:r>
    </w:p>
    <w:p w14:paraId="42DF5008">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Style w:val="8"/>
          <w:rFonts w:hint="default" w:ascii="Times New Roman" w:hAnsi="Times New Roman" w:eastAsia="方正楷体简体" w:cs="Times New Roman"/>
          <w:b w:val="0"/>
          <w:bCs/>
          <w:color w:val="auto"/>
          <w:sz w:val="32"/>
          <w:szCs w:val="32"/>
          <w:shd w:val="clear" w:color="auto" w:fill="auto"/>
        </w:rPr>
        <w:t>（二）机构设置</w:t>
      </w:r>
    </w:p>
    <w:p w14:paraId="1CCFF411">
      <w:pPr>
        <w:pStyle w:val="5"/>
        <w:keepNext w:val="0"/>
        <w:keepLines w:val="0"/>
        <w:pageBreakBefore w:val="0"/>
        <w:widowControl/>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color w:val="auto"/>
          <w:sz w:val="32"/>
          <w:szCs w:val="32"/>
          <w:shd w:val="clear" w:color="auto" w:fill="auto"/>
          <w:lang w:val="en-US" w:eastAsia="zh-CN"/>
        </w:rPr>
      </w:pPr>
      <w:r>
        <w:rPr>
          <w:rFonts w:hint="default" w:ascii="Times New Roman" w:hAnsi="Times New Roman" w:eastAsia="方正仿宋简体" w:cs="Times New Roman"/>
          <w:b w:val="0"/>
          <w:bCs/>
          <w:color w:val="auto"/>
          <w:sz w:val="32"/>
          <w:szCs w:val="32"/>
          <w:shd w:val="clear" w:color="auto" w:fill="auto"/>
          <w:lang w:eastAsia="zh-CN"/>
        </w:rPr>
        <w:t>截止</w:t>
      </w:r>
      <w:r>
        <w:rPr>
          <w:rFonts w:hint="default" w:ascii="Times New Roman" w:hAnsi="Times New Roman" w:eastAsia="方正仿宋简体" w:cs="Times New Roman"/>
          <w:b w:val="0"/>
          <w:bCs/>
          <w:color w:val="auto"/>
          <w:sz w:val="32"/>
          <w:szCs w:val="32"/>
          <w:shd w:val="clear" w:color="auto" w:fill="auto"/>
          <w:lang w:val="en-US" w:eastAsia="zh-CN"/>
        </w:rPr>
        <w:t>2024年底，</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重庆市铜梁区石鱼镇乡村产业培育中心核定事业编制为</w:t>
      </w:r>
      <w:r>
        <w:rPr>
          <w:rFonts w:hint="default" w:ascii="Times New Roman" w:hAnsi="Times New Roman" w:eastAsia="方正仿宋简体" w:cs="Times New Roman"/>
          <w:b w:val="0"/>
          <w:bCs/>
          <w:color w:val="auto"/>
          <w:sz w:val="32"/>
          <w:szCs w:val="32"/>
          <w:shd w:val="clear" w:color="auto" w:fill="auto"/>
          <w:lang w:val="en-US" w:eastAsia="zh-CN"/>
        </w:rPr>
        <w:t>3人，年末实有人数为3人。</w:t>
      </w:r>
    </w:p>
    <w:p w14:paraId="059D53E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二、</w:t>
      </w:r>
      <w:r>
        <w:rPr>
          <w:rStyle w:val="8"/>
          <w:rFonts w:hint="default" w:ascii="Times New Roman" w:hAnsi="Times New Roman" w:eastAsia="方正黑体简体" w:cs="Times New Roman"/>
          <w:b w:val="0"/>
          <w:bCs/>
          <w:color w:val="auto"/>
          <w:sz w:val="32"/>
          <w:szCs w:val="32"/>
          <w:shd w:val="clear" w:color="auto" w:fill="auto"/>
          <w:lang w:eastAsia="zh-CN"/>
        </w:rPr>
        <w:t>单位</w:t>
      </w:r>
      <w:r>
        <w:rPr>
          <w:rStyle w:val="8"/>
          <w:rFonts w:hint="default" w:ascii="Times New Roman" w:hAnsi="Times New Roman" w:eastAsia="方正黑体简体" w:cs="Times New Roman"/>
          <w:b w:val="0"/>
          <w:bCs/>
          <w:color w:val="auto"/>
          <w:sz w:val="32"/>
          <w:szCs w:val="32"/>
          <w:shd w:val="clear" w:color="auto" w:fill="auto"/>
        </w:rPr>
        <w:t>决算</w:t>
      </w:r>
      <w:r>
        <w:rPr>
          <w:rStyle w:val="8"/>
          <w:rFonts w:hint="default" w:ascii="Times New Roman" w:hAnsi="Times New Roman" w:eastAsia="方正黑体简体" w:cs="Times New Roman"/>
          <w:b w:val="0"/>
          <w:bCs/>
          <w:color w:val="auto"/>
          <w:sz w:val="32"/>
          <w:szCs w:val="32"/>
          <w:shd w:val="clear" w:color="auto" w:fill="auto"/>
          <w:lang w:eastAsia="zh-CN"/>
        </w:rPr>
        <w:t>收支</w:t>
      </w:r>
      <w:r>
        <w:rPr>
          <w:rStyle w:val="8"/>
          <w:rFonts w:hint="default" w:ascii="Times New Roman" w:hAnsi="Times New Roman" w:eastAsia="方正黑体简体" w:cs="Times New Roman"/>
          <w:b w:val="0"/>
          <w:bCs/>
          <w:color w:val="auto"/>
          <w:sz w:val="32"/>
          <w:szCs w:val="32"/>
          <w:shd w:val="clear" w:color="auto" w:fill="auto"/>
        </w:rPr>
        <w:t>情况说明</w:t>
      </w:r>
    </w:p>
    <w:p w14:paraId="7F74C75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（一）收入支出决算总体情况说明。</w:t>
      </w:r>
    </w:p>
    <w:p w14:paraId="48E144BF">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1.总体情况。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度收入总计64.25万元，支出总计64.25万元。收、支与2023年度相比，增加64.25万元，增长100.0%，主要原因是2024年根据区财政局相关要求，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p>
    <w:p w14:paraId="2994B63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2.收入情况。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度收入合计64.25万元，与2023年度相比，增加64.25万元，增长100.0%，，主要原因是2024年根据区财政局相关要求，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b w:val="0"/>
          <w:bCs/>
          <w:color w:val="auto"/>
          <w:sz w:val="32"/>
          <w:szCs w:val="32"/>
          <w:shd w:val="clear" w:color="auto" w:fill="auto"/>
        </w:rPr>
        <w:t>其中：财政拨款收入64.25万元，占100.00%；事业收入0.00万元，占0.00%；经营收入0.00万元，占0.00%；其他收入0.00万元，占0.00%。此外，使用非财政拨款结余和专用结余0.00万元，年初结转和结余0.00万元。</w:t>
      </w:r>
    </w:p>
    <w:p w14:paraId="2FCED9E0">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3.支出情况。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度支出合计64.25万元，与2023年度相比，增加64.25万元，增长100.0%，主要原因是2024年根据区财政局相关要求，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b w:val="0"/>
          <w:bCs/>
          <w:color w:val="auto"/>
          <w:sz w:val="32"/>
          <w:szCs w:val="32"/>
          <w:shd w:val="clear" w:color="auto" w:fill="auto"/>
        </w:rPr>
        <w:t>其中：基本支出62.67万元，占97.54%；项目支出1.58万元，占2.46%；经营支出0.00万元，占0.00%。此外，结余分配0.00万元。</w:t>
      </w:r>
    </w:p>
    <w:p w14:paraId="71908E9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4.结转结余情况。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度年末结转和结余0.00万元，与2023年度相比，无增减，主要原因是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p>
    <w:p w14:paraId="7A12E936">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（二）财政拨款收入支出决算总体情况说明</w:t>
      </w:r>
    </w:p>
    <w:p w14:paraId="4B59028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度财政拨款收、支总计64.25万元。与202</w:t>
      </w:r>
      <w:r>
        <w:rPr>
          <w:rFonts w:hint="default" w:ascii="Times New Roman" w:hAnsi="Times New Roman" w:eastAsia="方正仿宋简体" w:cs="Times New Roman"/>
          <w:b w:val="0"/>
          <w:bCs/>
          <w:color w:val="auto"/>
          <w:sz w:val="32"/>
          <w:szCs w:val="32"/>
          <w:shd w:val="clear" w:color="auto" w:fill="auto"/>
          <w:lang w:val="en-US" w:eastAsia="zh-CN"/>
        </w:rPr>
        <w:t>3</w:t>
      </w:r>
      <w:r>
        <w:rPr>
          <w:rFonts w:hint="default" w:ascii="Times New Roman" w:hAnsi="Times New Roman" w:eastAsia="方正仿宋简体" w:cs="Times New Roman"/>
          <w:b w:val="0"/>
          <w:bCs/>
          <w:color w:val="auto"/>
          <w:sz w:val="32"/>
          <w:szCs w:val="32"/>
          <w:shd w:val="clear" w:color="auto" w:fill="auto"/>
        </w:rPr>
        <w:t>年相比，财政拨款收、支总计各增加64.25万元，增长100.0%。主要原因是2024年根据区财政局相关要求，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w:t>
      </w:r>
    </w:p>
    <w:p w14:paraId="51CF0CF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（三）一般公共预算财政拨款收入支出决算情况说明</w:t>
      </w:r>
    </w:p>
    <w:p w14:paraId="4210F373">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bCs w:val="0"/>
          <w:color w:val="auto"/>
          <w:sz w:val="32"/>
          <w:szCs w:val="32"/>
          <w:shd w:val="clear" w:color="auto" w:fill="auto"/>
        </w:rPr>
        <w:t>1.收入情况。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度一般公共预算财政拨款收入64.25万元，与2023年度相比，增加64.25万元，增长100.0%。主要原因是2024年根据区财政局相关要求，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所以收入变动较大</w:t>
      </w:r>
      <w:r>
        <w:rPr>
          <w:rFonts w:hint="default" w:ascii="Times New Roman" w:hAnsi="Times New Roman" w:eastAsia="方正仿宋简体" w:cs="Times New Roman"/>
          <w:b w:val="0"/>
          <w:bCs/>
          <w:color w:val="auto"/>
          <w:sz w:val="32"/>
          <w:szCs w:val="32"/>
          <w:shd w:val="clear" w:color="auto" w:fill="auto"/>
        </w:rPr>
        <w:t>。较年初预算数减少10.09万元，下降13.6%。主要原因是我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切实履行过紧日子的相关要求，压减辖区各项开支，同时对辖区各项目的开展进行严格监管，减少非必要的支出。此外，年初财政拨款结转和结余0.00万元。此外，年初财政拨款结转和结余0.00万元。</w:t>
      </w:r>
    </w:p>
    <w:p w14:paraId="1BAEF20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bCs w:val="0"/>
          <w:color w:val="auto"/>
          <w:sz w:val="32"/>
          <w:szCs w:val="32"/>
          <w:shd w:val="clear" w:color="auto" w:fill="auto"/>
        </w:rPr>
        <w:t>2.支出情况。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度一般公共预算财政拨款支出64.25万元，与2023年度相比，增加64.25万元，增长100.0%。主要原因是2024年根据区财政局相关要求，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所以支出变动较大</w:t>
      </w:r>
      <w:r>
        <w:rPr>
          <w:rFonts w:hint="default" w:ascii="Times New Roman" w:hAnsi="Times New Roman" w:eastAsia="方正仿宋简体" w:cs="Times New Roman"/>
          <w:b w:val="0"/>
          <w:bCs/>
          <w:color w:val="auto"/>
          <w:sz w:val="32"/>
          <w:szCs w:val="32"/>
          <w:shd w:val="clear" w:color="auto" w:fill="auto"/>
        </w:rPr>
        <w:t>。较年初预算数减少10.09万元，下降13.6%。主要原因是我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C9C4766">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bCs w:val="0"/>
          <w:color w:val="auto"/>
          <w:sz w:val="32"/>
          <w:szCs w:val="32"/>
          <w:shd w:val="clear" w:color="auto" w:fill="auto"/>
        </w:rPr>
        <w:t>3.结转结余情况。</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度年末一般公共预算财政拨款结转和结余0.00万元，与2023年度相比，无增减，主要原因是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w:t>
      </w:r>
      <w:r>
        <w:rPr>
          <w:rFonts w:hint="default" w:ascii="Times New Roman" w:hAnsi="Times New Roman" w:eastAsia="方正仿宋简体" w:cs="Times New Roman"/>
          <w:b w:val="0"/>
          <w:bCs/>
          <w:color w:val="auto"/>
          <w:sz w:val="32"/>
          <w:szCs w:val="32"/>
          <w:shd w:val="clear" w:color="auto" w:fill="auto"/>
        </w:rPr>
        <w:t>严格执行收支平衡原则，切实履行财政预算执行，坚决要求做到收支平衡。</w:t>
      </w:r>
    </w:p>
    <w:p w14:paraId="7D268A7D">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highlight w:val="cyan"/>
          <w:shd w:val="clear" w:color="auto" w:fill="auto"/>
        </w:rPr>
      </w:pPr>
      <w:r>
        <w:rPr>
          <w:rStyle w:val="8"/>
          <w:rFonts w:hint="default" w:ascii="Times New Roman" w:hAnsi="Times New Roman" w:eastAsia="方正仿宋简体" w:cs="Times New Roman"/>
          <w:b w:val="0"/>
          <w:bCs/>
          <w:color w:val="auto"/>
          <w:sz w:val="32"/>
          <w:szCs w:val="32"/>
          <w:shd w:val="clear" w:color="auto" w:fill="auto"/>
        </w:rPr>
        <w:t xml:space="preserve"> </w:t>
      </w:r>
      <w:r>
        <w:rPr>
          <w:rStyle w:val="8"/>
          <w:rFonts w:hint="default" w:ascii="Times New Roman" w:hAnsi="Times New Roman" w:eastAsia="方正仿宋简体" w:cs="Times New Roman"/>
          <w:b/>
          <w:bCs w:val="0"/>
          <w:color w:val="auto"/>
          <w:sz w:val="32"/>
          <w:szCs w:val="32"/>
          <w:shd w:val="clear" w:color="auto" w:fill="auto"/>
        </w:rPr>
        <w:t>4.比较情况。</w:t>
      </w:r>
      <w:r>
        <w:rPr>
          <w:rFonts w:hint="default" w:ascii="Times New Roman" w:hAnsi="Times New Roman" w:eastAsia="方正仿宋简体" w:cs="Times New Roman"/>
          <w:b w:val="0"/>
          <w:bCs/>
          <w:color w:val="auto"/>
          <w:sz w:val="32"/>
          <w:szCs w:val="32"/>
          <w:shd w:val="clear" w:color="auto" w:fill="auto"/>
        </w:rPr>
        <w:t>本单位</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度一般公共预算财政拨款支出主要用于以下几个方面：</w:t>
      </w:r>
    </w:p>
    <w:p w14:paraId="63158E4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b w:val="0"/>
          <w:bCs/>
          <w:color w:val="auto"/>
          <w:sz w:val="32"/>
          <w:szCs w:val="32"/>
          <w:shd w:val="clear" w:color="auto" w:fill="auto"/>
          <w:lang w:val="en-US" w:eastAsia="zh-CN"/>
        </w:rPr>
        <w:t>1</w:t>
      </w:r>
      <w:r>
        <w:rPr>
          <w:rFonts w:hint="default" w:ascii="Times New Roman" w:hAnsi="Times New Roman" w:eastAsia="方正仿宋简体" w:cs="Times New Roman"/>
          <w:b w:val="0"/>
          <w:bCs/>
          <w:color w:val="auto"/>
          <w:sz w:val="32"/>
          <w:szCs w:val="32"/>
          <w:shd w:val="clear" w:color="auto" w:fill="auto"/>
        </w:rPr>
        <w:t>）社会保障与就业支出5.39万元，占8.39%，较年初预算数无增减，主要原因是我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1FB65105">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b w:val="0"/>
          <w:bCs/>
          <w:color w:val="auto"/>
          <w:sz w:val="32"/>
          <w:szCs w:val="32"/>
          <w:shd w:val="clear" w:color="auto" w:fill="auto"/>
          <w:lang w:val="en-US" w:eastAsia="zh-CN"/>
        </w:rPr>
        <w:t>2</w:t>
      </w:r>
      <w:r>
        <w:rPr>
          <w:rFonts w:hint="default" w:ascii="Times New Roman" w:hAnsi="Times New Roman" w:eastAsia="方正仿宋简体" w:cs="Times New Roman"/>
          <w:b w:val="0"/>
          <w:bCs/>
          <w:color w:val="auto"/>
          <w:sz w:val="32"/>
          <w:szCs w:val="32"/>
          <w:shd w:val="clear" w:color="auto" w:fill="auto"/>
        </w:rPr>
        <w:t>）卫生健康支出2.25万元，占3.50%，较年初预算数减少0.67万元，下降23.0%，主要原因是我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228E865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b w:val="0"/>
          <w:bCs/>
          <w:color w:val="auto"/>
          <w:sz w:val="32"/>
          <w:szCs w:val="32"/>
          <w:shd w:val="clear" w:color="auto" w:fill="auto"/>
          <w:lang w:val="en-US" w:eastAsia="zh-CN"/>
        </w:rPr>
        <w:t>3</w:t>
      </w:r>
      <w:r>
        <w:rPr>
          <w:rFonts w:hint="default" w:ascii="Times New Roman" w:hAnsi="Times New Roman" w:eastAsia="方正仿宋简体" w:cs="Times New Roman"/>
          <w:b w:val="0"/>
          <w:bCs/>
          <w:color w:val="auto"/>
          <w:sz w:val="32"/>
          <w:szCs w:val="32"/>
          <w:shd w:val="clear" w:color="auto" w:fill="auto"/>
        </w:rPr>
        <w:t>）农林水支出54.06万元，占84.15%，较年初预算数减少9.27万元，下降14.6%，主要原因是我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09C3D46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）住房保障支出2.55万元，占3.97%，较年初预算数减少0.14万元，下降5.2%，主要原因是我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130F5BD3">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（四）一般公共预算财政拨款基本支出决算情况说明</w:t>
      </w:r>
    </w:p>
    <w:p w14:paraId="35A5C2E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 </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度一般公共财政拨款基本支出62.67万元。其中：人员经费54.95万元，与2023年度相比，增加54.95万元，增长100.0%，主要原因是2024年根据区财政局相关要求，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人员经费用途主要包括工资、津贴、平时考核、年终考核、年终一次性奖金、公积金和人员社保费、医保等。公用经费7.72万元，与2023年度相比，增加7.72万元，增长100.0%，主要原因是2024年根据区财政局相关要求，</w:t>
      </w:r>
      <w:r>
        <w:rPr>
          <w:rFonts w:hint="default" w:ascii="Times New Roman" w:hAnsi="Times New Roman" w:eastAsia="方正仿宋简体" w:cs="Times New Roman"/>
          <w:b w:val="0"/>
          <w:bCs/>
          <w:color w:val="auto"/>
          <w:sz w:val="32"/>
          <w:szCs w:val="32"/>
          <w:shd w:val="clear" w:color="auto" w:fill="auto"/>
          <w:lang w:eastAsia="zh-CN"/>
        </w:rPr>
        <w:t>石鱼镇人民政府</w:t>
      </w:r>
      <w:r>
        <w:rPr>
          <w:rFonts w:hint="default" w:ascii="Times New Roman" w:hAnsi="Times New Roman" w:eastAsia="方正仿宋简体" w:cs="Times New Roman"/>
          <w:b w:val="0"/>
          <w:bCs/>
          <w:color w:val="auto"/>
          <w:sz w:val="32"/>
          <w:szCs w:val="32"/>
          <w:shd w:val="clear" w:color="auto" w:fill="auto"/>
        </w:rPr>
        <w:t>将下属事业单位划分为</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w:t>
      </w:r>
      <w:r>
        <w:rPr>
          <w:rFonts w:hint="default" w:ascii="Times New Roman" w:hAnsi="Times New Roman" w:eastAsia="方正仿宋简体" w:cs="Times New Roman"/>
          <w:b w:val="0"/>
          <w:bCs/>
          <w:color w:val="auto"/>
          <w:sz w:val="32"/>
          <w:szCs w:val="32"/>
          <w:shd w:val="clear" w:color="auto" w:fill="auto"/>
        </w:rPr>
        <w:t>等7个账套单独核算</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lang w:val="en-US" w:eastAsia="zh-CN"/>
        </w:rPr>
        <w:t>2023年无相关数据，</w:t>
      </w:r>
      <w:r>
        <w:rPr>
          <w:rFonts w:hint="default" w:ascii="Times New Roman" w:hAnsi="Times New Roman" w:eastAsia="方正仿宋简体" w:cs="Times New Roman"/>
          <w:b w:val="0"/>
          <w:bCs/>
          <w:color w:val="auto"/>
          <w:sz w:val="32"/>
          <w:szCs w:val="32"/>
          <w:shd w:val="clear" w:color="auto" w:fill="auto"/>
          <w:lang w:eastAsia="zh-CN"/>
        </w:rPr>
        <w:t>所以收支变动较大。</w:t>
      </w:r>
      <w:r>
        <w:rPr>
          <w:rFonts w:hint="default" w:ascii="Times New Roman" w:hAnsi="Times New Roman" w:eastAsia="方正仿宋简体" w:cs="Times New Roman"/>
          <w:b w:val="0"/>
          <w:bCs/>
          <w:color w:val="auto"/>
          <w:sz w:val="32"/>
          <w:szCs w:val="32"/>
          <w:shd w:val="clear" w:color="auto" w:fill="auto"/>
        </w:rPr>
        <w:t>公用经费用途主要包括办公费、水电费、邮电费、差旅费、印刷费、公务车运行费、劳务费、其他交通费和其他商品服务支出等。</w:t>
      </w:r>
    </w:p>
    <w:p w14:paraId="2E32A96A">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（五）政府性基金预算收支决算情况说明</w:t>
      </w:r>
    </w:p>
    <w:p w14:paraId="20C80BB8">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本单位</w:t>
      </w:r>
      <w:r>
        <w:rPr>
          <w:rStyle w:val="8"/>
          <w:rFonts w:hint="default" w:ascii="Times New Roman" w:hAnsi="Times New Roman" w:eastAsia="方正仿宋简体" w:cs="Times New Roman"/>
          <w:b w:val="0"/>
          <w:bCs/>
          <w:color w:val="auto"/>
          <w:sz w:val="32"/>
          <w:szCs w:val="32"/>
          <w:shd w:val="clear" w:color="auto" w:fill="auto"/>
          <w:lang w:eastAsia="zh-CN"/>
        </w:rPr>
        <w:t>2024年</w:t>
      </w:r>
      <w:r>
        <w:rPr>
          <w:rStyle w:val="8"/>
          <w:rFonts w:hint="default" w:ascii="Times New Roman" w:hAnsi="Times New Roman" w:eastAsia="方正仿宋简体" w:cs="Times New Roman"/>
          <w:b w:val="0"/>
          <w:bCs/>
          <w:color w:val="auto"/>
          <w:sz w:val="32"/>
          <w:szCs w:val="32"/>
          <w:shd w:val="clear" w:color="auto" w:fill="auto"/>
        </w:rPr>
        <w:t>度无政府性基金预算财政拨款收支。</w:t>
      </w:r>
    </w:p>
    <w:p w14:paraId="526F34C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（六）国有资本经营预算财政拨款支出决算情况说明</w:t>
      </w:r>
    </w:p>
    <w:p w14:paraId="705F9774">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Style w:val="8"/>
          <w:rFonts w:hint="default" w:ascii="Times New Roman" w:hAnsi="Times New Roman" w:eastAsia="方正仿宋简体" w:cs="Times New Roman"/>
          <w:b w:val="0"/>
          <w:bCs/>
          <w:color w:val="auto"/>
          <w:sz w:val="32"/>
          <w:szCs w:val="32"/>
          <w:shd w:val="clear" w:color="auto" w:fill="auto"/>
        </w:rPr>
        <w:t>本单位</w:t>
      </w:r>
      <w:r>
        <w:rPr>
          <w:rStyle w:val="8"/>
          <w:rFonts w:hint="default" w:ascii="Times New Roman" w:hAnsi="Times New Roman" w:eastAsia="方正仿宋简体" w:cs="Times New Roman"/>
          <w:b w:val="0"/>
          <w:bCs/>
          <w:color w:val="auto"/>
          <w:sz w:val="32"/>
          <w:szCs w:val="32"/>
          <w:shd w:val="clear" w:color="auto" w:fill="auto"/>
          <w:lang w:eastAsia="zh-CN"/>
        </w:rPr>
        <w:t>2024年</w:t>
      </w:r>
      <w:r>
        <w:rPr>
          <w:rStyle w:val="8"/>
          <w:rFonts w:hint="default" w:ascii="Times New Roman" w:hAnsi="Times New Roman" w:eastAsia="方正仿宋简体" w:cs="Times New Roman"/>
          <w:b w:val="0"/>
          <w:bCs/>
          <w:color w:val="auto"/>
          <w:sz w:val="32"/>
          <w:szCs w:val="32"/>
          <w:shd w:val="clear" w:color="auto" w:fill="auto"/>
        </w:rPr>
        <w:t>度无国有资本经营预算财政拨款支出。</w:t>
      </w:r>
    </w:p>
    <w:p w14:paraId="1826257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三、</w:t>
      </w:r>
      <w:r>
        <w:rPr>
          <w:rStyle w:val="8"/>
          <w:rFonts w:hint="default" w:ascii="Times New Roman" w:hAnsi="Times New Roman" w:eastAsia="方正黑体简体" w:cs="Times New Roman"/>
          <w:b w:val="0"/>
          <w:bCs/>
          <w:color w:val="auto"/>
          <w:sz w:val="32"/>
          <w:szCs w:val="32"/>
          <w:shd w:val="clear" w:color="auto" w:fill="auto"/>
          <w:lang w:eastAsia="zh-CN"/>
        </w:rPr>
        <w:t>财政拨款</w:t>
      </w:r>
      <w:r>
        <w:rPr>
          <w:rStyle w:val="8"/>
          <w:rFonts w:hint="default" w:ascii="Times New Roman" w:hAnsi="Times New Roman" w:eastAsia="方正黑体简体" w:cs="Times New Roman"/>
          <w:b w:val="0"/>
          <w:bCs/>
          <w:color w:val="auto"/>
          <w:sz w:val="32"/>
          <w:szCs w:val="32"/>
          <w:shd w:val="clear" w:color="auto" w:fill="auto"/>
        </w:rPr>
        <w:t>“三公”经费情况说明</w:t>
      </w:r>
    </w:p>
    <w:p w14:paraId="4DDBF338">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（一）“三公”经费支出总体情况说明</w:t>
      </w:r>
    </w:p>
    <w:p w14:paraId="3ABC5BB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度“三公”经费支出共计0.00万元，较年初预算数无增减，主要原因是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重庆市铜梁区石鱼镇乡村产业培育中心是石鱼镇人民政府下属单位，“三公”经费主要体现在石鱼镇人民政府（本级），本单位未</w:t>
      </w:r>
      <w:r>
        <w:rPr>
          <w:rFonts w:hint="eastAsia" w:ascii="Times New Roman" w:hAnsi="Times New Roman" w:eastAsia="方正仿宋简体" w:cs="Times New Roman"/>
          <w:b w:val="0"/>
          <w:bCs/>
          <w:color w:val="auto"/>
          <w:sz w:val="32"/>
          <w:szCs w:val="32"/>
          <w:shd w:val="clear" w:color="auto" w:fill="auto"/>
          <w:lang w:eastAsia="zh-CN"/>
        </w:rPr>
        <w:t>涉及</w:t>
      </w:r>
      <w:r>
        <w:rPr>
          <w:rFonts w:hint="default" w:ascii="Times New Roman" w:hAnsi="Times New Roman" w:eastAsia="方正仿宋简体" w:cs="Times New Roman"/>
          <w:b w:val="0"/>
          <w:bCs/>
          <w:color w:val="auto"/>
          <w:sz w:val="32"/>
          <w:szCs w:val="32"/>
          <w:shd w:val="clear" w:color="auto" w:fill="auto"/>
          <w:lang w:eastAsia="zh-CN"/>
        </w:rPr>
        <w:t>“三公”经费支出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eastAsia="zh-CN"/>
        </w:rPr>
        <w:t>重庆市铜梁区石鱼镇乡村产业培育中心是石鱼镇人民政府下属单位，“三公”经费主要体现在石鱼镇人民政府（本级），本单位未</w:t>
      </w:r>
      <w:r>
        <w:rPr>
          <w:rFonts w:hint="eastAsia" w:ascii="Times New Roman" w:hAnsi="Times New Roman" w:eastAsia="方正仿宋简体" w:cs="Times New Roman"/>
          <w:b w:val="0"/>
          <w:bCs/>
          <w:color w:val="auto"/>
          <w:sz w:val="32"/>
          <w:szCs w:val="32"/>
          <w:shd w:val="clear" w:color="auto" w:fill="auto"/>
          <w:lang w:eastAsia="zh-CN"/>
        </w:rPr>
        <w:t>涉及</w:t>
      </w:r>
      <w:r>
        <w:rPr>
          <w:rFonts w:hint="default" w:ascii="Times New Roman" w:hAnsi="Times New Roman" w:eastAsia="方正仿宋简体" w:cs="Times New Roman"/>
          <w:b w:val="0"/>
          <w:bCs/>
          <w:color w:val="auto"/>
          <w:sz w:val="32"/>
          <w:szCs w:val="32"/>
          <w:shd w:val="clear" w:color="auto" w:fill="auto"/>
          <w:lang w:eastAsia="zh-CN"/>
        </w:rPr>
        <w:t>“三公”经费支出</w:t>
      </w:r>
      <w:r>
        <w:rPr>
          <w:rFonts w:hint="default" w:ascii="Times New Roman" w:hAnsi="Times New Roman" w:eastAsia="方正仿宋简体" w:cs="Times New Roman"/>
          <w:b w:val="0"/>
          <w:bCs/>
          <w:color w:val="auto"/>
          <w:sz w:val="32"/>
          <w:szCs w:val="32"/>
          <w:shd w:val="clear" w:color="auto" w:fill="auto"/>
        </w:rPr>
        <w:t>。</w:t>
      </w:r>
    </w:p>
    <w:p w14:paraId="0F1E7FF7">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（二）“三公”经费分项支出情况</w:t>
      </w:r>
    </w:p>
    <w:p w14:paraId="151D8AAC">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lang w:eastAsia="zh-CN"/>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度本单位因公出国（境）费用0.00万元，主要是用于单位公务出国（境）的国际旅费、国外城市间交通 费、住宿费、伙食费、培训费、公杂费等支出。费用支出较年初预算数无增减，主要原因是202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预算。</w:t>
      </w:r>
      <w:r>
        <w:rPr>
          <w:rFonts w:hint="default" w:ascii="Times New Roman" w:hAnsi="Times New Roman" w:eastAsia="方正仿宋简体" w:cs="Times New Roman"/>
          <w:b w:val="0"/>
          <w:bCs/>
          <w:color w:val="auto"/>
          <w:sz w:val="32"/>
          <w:szCs w:val="32"/>
          <w:shd w:val="clear" w:color="auto" w:fill="auto"/>
        </w:rPr>
        <w:t>与2023年度相比，无增减，</w:t>
      </w:r>
      <w:r>
        <w:rPr>
          <w:rFonts w:hint="eastAsia" w:ascii="Times New Roman" w:hAnsi="Times New Roman" w:eastAsia="方正仿宋简体" w:cs="Times New Roman"/>
          <w:b w:val="0"/>
          <w:bCs/>
          <w:color w:val="auto"/>
          <w:sz w:val="32"/>
          <w:szCs w:val="32"/>
          <w:shd w:val="clear" w:color="auto" w:fill="auto"/>
          <w:lang w:eastAsia="zh-CN"/>
        </w:rPr>
        <w:t>主要原因是</w:t>
      </w:r>
      <w:r>
        <w:rPr>
          <w:rFonts w:hint="default" w:ascii="Times New Roman" w:hAnsi="Times New Roman" w:eastAsia="方正仿宋简体" w:cs="Times New Roman"/>
          <w:b w:val="0"/>
          <w:bCs/>
          <w:color w:val="auto"/>
          <w:sz w:val="32"/>
          <w:szCs w:val="32"/>
          <w:shd w:val="clear" w:color="auto" w:fill="auto"/>
        </w:rPr>
        <w:t>202</w:t>
      </w:r>
      <w:r>
        <w:rPr>
          <w:rFonts w:hint="default" w:ascii="Times New Roman" w:hAnsi="Times New Roman" w:eastAsia="方正仿宋简体" w:cs="Times New Roman"/>
          <w:b w:val="0"/>
          <w:bCs/>
          <w:color w:val="auto"/>
          <w:sz w:val="32"/>
          <w:szCs w:val="32"/>
          <w:shd w:val="clear" w:color="auto" w:fill="auto"/>
          <w:lang w:val="en-US" w:eastAsia="zh-CN"/>
        </w:rPr>
        <w:t>4</w:t>
      </w:r>
      <w:r>
        <w:rPr>
          <w:rFonts w:hint="default" w:ascii="Times New Roman" w:hAnsi="Times New Roman" w:eastAsia="方正仿宋简体" w:cs="Times New Roman"/>
          <w:b w:val="0"/>
          <w:bCs/>
          <w:color w:val="auto"/>
          <w:sz w:val="32"/>
          <w:szCs w:val="32"/>
          <w:shd w:val="clear" w:color="auto" w:fill="auto"/>
        </w:rPr>
        <w:t>年度我单位无因公出国（境）支出</w:t>
      </w:r>
      <w:r>
        <w:rPr>
          <w:rFonts w:hint="default" w:ascii="Times New Roman" w:hAnsi="Times New Roman" w:eastAsia="方正仿宋简体" w:cs="Times New Roman"/>
          <w:b w:val="0"/>
          <w:bCs/>
          <w:color w:val="auto"/>
          <w:sz w:val="32"/>
          <w:szCs w:val="32"/>
          <w:shd w:val="clear" w:color="auto" w:fill="auto"/>
          <w:lang w:eastAsia="zh-CN"/>
        </w:rPr>
        <w:t>。</w:t>
      </w:r>
    </w:p>
    <w:p w14:paraId="6E3D7A9F">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公务车购置费0.00万元，主要用于单位公务用车购置支出（含车辆购置税）。费用支出较年初预算数无增减，主要原因是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。较上年支出数无增减，主要原因是</w:t>
      </w:r>
      <w:r>
        <w:rPr>
          <w:rFonts w:hint="default" w:ascii="Times New Roman" w:hAnsi="Times New Roman" w:eastAsia="方正仿宋简体" w:cs="Times New Roman"/>
          <w:b w:val="0"/>
          <w:bCs/>
          <w:color w:val="auto"/>
          <w:sz w:val="32"/>
          <w:szCs w:val="32"/>
          <w:shd w:val="clear" w:color="auto" w:fill="auto"/>
          <w:lang w:val="en-US" w:eastAsia="zh-CN"/>
        </w:rPr>
        <w:t>2024年我单位没有安排购置公务车相关支出</w:t>
      </w:r>
      <w:r>
        <w:rPr>
          <w:rFonts w:hint="default" w:ascii="Times New Roman" w:hAnsi="Times New Roman" w:eastAsia="方正仿宋简体" w:cs="Times New Roman"/>
          <w:b w:val="0"/>
          <w:bCs/>
          <w:color w:val="auto"/>
          <w:sz w:val="32"/>
          <w:szCs w:val="32"/>
          <w:shd w:val="clear" w:color="auto" w:fill="auto"/>
        </w:rPr>
        <w:t>。</w:t>
      </w:r>
    </w:p>
    <w:p w14:paraId="1FE413EE">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公务车运行维护费0.00万元，主要用于单位按规定保留的公务用车燃料费、维修费、过路过桥费、保险费、安全奖励费用等支出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费用支出较年初预算数无增减，主要原因是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我单位没有公务车，所以就没有相关支出预算</w:t>
      </w:r>
      <w:r>
        <w:rPr>
          <w:rFonts w:hint="default" w:ascii="Times New Roman" w:hAnsi="Times New Roman" w:eastAsia="方正仿宋简体" w:cs="Times New Roman"/>
          <w:b w:val="0"/>
          <w:bCs/>
          <w:color w:val="auto"/>
          <w:sz w:val="32"/>
          <w:szCs w:val="32"/>
          <w:shd w:val="clear" w:color="auto" w:fill="auto"/>
        </w:rPr>
        <w:t>。与2023年度相比，无增减，主要原因是</w:t>
      </w:r>
      <w:r>
        <w:rPr>
          <w:rFonts w:hint="default" w:ascii="Times New Roman" w:hAnsi="Times New Roman" w:eastAsia="方正仿宋简体" w:cs="Times New Roman"/>
          <w:b w:val="0"/>
          <w:bCs/>
          <w:color w:val="auto"/>
          <w:sz w:val="32"/>
          <w:szCs w:val="32"/>
          <w:shd w:val="clear" w:color="auto" w:fill="auto"/>
          <w:lang w:eastAsia="zh-CN"/>
        </w:rPr>
        <w:t>我单位没有公务车，所以就没有相关支出</w:t>
      </w:r>
      <w:r>
        <w:rPr>
          <w:rFonts w:hint="default" w:ascii="Times New Roman" w:hAnsi="Times New Roman" w:eastAsia="方正仿宋简体" w:cs="Times New Roman"/>
          <w:b w:val="0"/>
          <w:bCs/>
          <w:color w:val="auto"/>
          <w:sz w:val="32"/>
          <w:szCs w:val="32"/>
          <w:shd w:val="clear" w:color="auto" w:fill="auto"/>
        </w:rPr>
        <w:t>。</w:t>
      </w:r>
    </w:p>
    <w:p w14:paraId="0516870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公务接待费0.00万元，主要用于接待主要用于单位按规定开支的各类公务接待（含外宾接待）支出。费用支出较年初预算数无增减，主要原因是我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500B9BC9">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（三）“三公”经费实物量情况</w:t>
      </w:r>
    </w:p>
    <w:p w14:paraId="047436C1">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本单位人均接待费0元，车均购置费0万元，车均维护费0万元。</w:t>
      </w:r>
    </w:p>
    <w:p w14:paraId="290DD72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方正黑体简体" w:cs="Times New Roman"/>
          <w:b w:val="0"/>
          <w:bCs/>
          <w:color w:val="auto"/>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rPr>
        <w:t>四、其他需要说明的事项</w:t>
      </w:r>
    </w:p>
    <w:p w14:paraId="278E2D4F">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 xml:space="preserve"> （一）财政拨款会议费和培训费情况说明</w:t>
      </w:r>
    </w:p>
    <w:p w14:paraId="47E6BBA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本年度会议费支出0.00万元，与2023年度相比，无增减，主要原因是我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w:t>
      </w:r>
      <w:r>
        <w:rPr>
          <w:rFonts w:hint="default" w:ascii="Times New Roman" w:hAnsi="Times New Roman" w:eastAsia="方正仿宋简体" w:cs="Times New Roman"/>
          <w:b w:val="0"/>
          <w:bCs/>
          <w:color w:val="auto"/>
          <w:sz w:val="32"/>
          <w:szCs w:val="32"/>
          <w:shd w:val="clear" w:color="auto" w:fill="auto"/>
        </w:rPr>
        <w:t>我</w:t>
      </w:r>
      <w:r>
        <w:rPr>
          <w:rFonts w:hint="default" w:ascii="Times New Roman" w:hAnsi="Times New Roman" w:eastAsia="方正仿宋简体" w:cs="Times New Roman"/>
          <w:b w:val="0"/>
          <w:bCs/>
          <w:color w:val="auto"/>
          <w:sz w:val="32"/>
          <w:szCs w:val="32"/>
          <w:shd w:val="clear" w:color="auto" w:fill="auto"/>
          <w:lang w:eastAsia="zh-CN"/>
        </w:rPr>
        <w:t>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切实履行过紧日子的相关要求，压减辖区各项开支，同时对辖区各项目的开展进行严格监管，减少非必要的支出。本年度培训费支出0.00万元，与2023年度相比，无变化，主要原因是我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08F9207E">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（二）机关运行经费情况说明</w:t>
      </w:r>
    </w:p>
    <w:p w14:paraId="6342B267">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度本单位机关运行经费支出0.00万元，机关运行经费主要用于</w:t>
      </w:r>
      <w:r>
        <w:rPr>
          <w:rFonts w:hint="eastAsia" w:ascii="Times New Roman" w:hAnsi="Times New Roman" w:eastAsia="方正仿宋简体" w:cs="Times New Roman"/>
          <w:b w:val="0"/>
          <w:bCs/>
          <w:color w:val="auto"/>
          <w:sz w:val="32"/>
          <w:szCs w:val="32"/>
          <w:shd w:val="clear" w:color="auto" w:fill="auto"/>
          <w:lang w:eastAsia="zh-CN"/>
        </w:rPr>
        <w:t>开支</w:t>
      </w:r>
      <w:r>
        <w:rPr>
          <w:rFonts w:hint="default" w:ascii="Times New Roman" w:hAnsi="Times New Roman" w:eastAsia="方正仿宋简体" w:cs="Times New Roman"/>
          <w:b w:val="0"/>
          <w:bCs/>
          <w:color w:val="auto"/>
          <w:sz w:val="32"/>
          <w:szCs w:val="32"/>
          <w:shd w:val="clear" w:color="auto" w:fill="auto"/>
        </w:rPr>
        <w:t>办公费、印刷费、水电费、邮电费、差旅费、劳务费、专用材料费、公务车运行费、其他交通费和其他商品服务支出</w:t>
      </w:r>
      <w:r>
        <w:rPr>
          <w:rFonts w:hint="default" w:ascii="Times New Roman" w:hAnsi="Times New Roman" w:eastAsia="方正仿宋简体" w:cs="Times New Roman"/>
          <w:b w:val="0"/>
          <w:bCs/>
          <w:color w:val="auto"/>
          <w:sz w:val="32"/>
          <w:szCs w:val="32"/>
          <w:shd w:val="clear" w:color="auto" w:fill="auto"/>
          <w:lang w:eastAsia="zh-CN"/>
        </w:rPr>
        <w:t>，</w:t>
      </w:r>
      <w:r>
        <w:rPr>
          <w:rFonts w:hint="default" w:ascii="Times New Roman" w:hAnsi="Times New Roman" w:eastAsia="方正仿宋简体" w:cs="Times New Roman"/>
          <w:b w:val="0"/>
          <w:bCs/>
          <w:color w:val="auto"/>
          <w:sz w:val="32"/>
          <w:szCs w:val="32"/>
          <w:shd w:val="clear" w:color="auto" w:fill="auto"/>
        </w:rPr>
        <w:t>机关运行经费较上年支出数无增减，主要原因是我</w:t>
      </w:r>
      <w:r>
        <w:rPr>
          <w:rFonts w:hint="default" w:ascii="Times New Roman" w:hAnsi="Times New Roman" w:eastAsia="方正仿宋简体" w:cs="Times New Roman"/>
          <w:b w:val="0"/>
          <w:bCs/>
          <w:color w:val="auto"/>
          <w:sz w:val="32"/>
          <w:szCs w:val="32"/>
          <w:shd w:val="clear" w:color="auto" w:fill="auto"/>
          <w:lang w:eastAsia="zh-CN"/>
        </w:rPr>
        <w:t>单位是</w:t>
      </w:r>
      <w:r>
        <w:rPr>
          <w:rFonts w:hint="default" w:ascii="Times New Roman" w:hAnsi="Times New Roman" w:eastAsia="方正仿宋简体" w:cs="Times New Roman"/>
          <w:b w:val="0"/>
          <w:bCs/>
          <w:color w:val="auto"/>
          <w:sz w:val="32"/>
          <w:szCs w:val="32"/>
          <w:shd w:val="clear" w:color="auto" w:fill="auto"/>
          <w:lang w:val="en-US" w:eastAsia="zh-CN"/>
        </w:rPr>
        <w:t>2024年新增独立核算单位，2023年无相关数据，同时，我单位</w:t>
      </w:r>
      <w:r>
        <w:rPr>
          <w:rFonts w:hint="default" w:ascii="Times New Roman" w:hAnsi="Times New Roman" w:eastAsia="方正仿宋简体" w:cs="Times New Roman"/>
          <w:b w:val="0"/>
          <w:bCs/>
          <w:color w:val="auto"/>
          <w:sz w:val="32"/>
          <w:szCs w:val="32"/>
          <w:shd w:val="clear" w:color="auto" w:fill="auto"/>
        </w:rPr>
        <w:t>切实履行过紧日子的相关要求，压减辖区各项开支，同时对辖区各项目的开展进行严格监管，减少非必要的支出。</w:t>
      </w:r>
    </w:p>
    <w:p w14:paraId="1003314D">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（三）国有资产占用情况说明</w:t>
      </w:r>
    </w:p>
    <w:p w14:paraId="0930D71B">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b w:val="0"/>
          <w:bCs/>
          <w:color w:val="auto"/>
          <w:sz w:val="32"/>
          <w:szCs w:val="32"/>
          <w:shd w:val="clear" w:color="auto" w:fill="auto"/>
        </w:rPr>
      </w:pPr>
      <w:r>
        <w:rPr>
          <w:rFonts w:hint="default" w:ascii="Times New Roman" w:hAnsi="Times New Roman" w:eastAsia="方正仿宋简体" w:cs="Times New Roman"/>
          <w:b w:val="0"/>
          <w:bCs/>
          <w:color w:val="auto"/>
          <w:sz w:val="32"/>
          <w:szCs w:val="32"/>
          <w:shd w:val="clear" w:color="auto" w:fill="auto"/>
        </w:rPr>
        <w:t>截至</w:t>
      </w: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627A64D2">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方正楷体简体" w:cs="Times New Roman"/>
          <w:b w:val="0"/>
          <w:bCs/>
          <w:color w:val="auto"/>
          <w:sz w:val="32"/>
          <w:szCs w:val="32"/>
          <w:shd w:val="clear" w:color="auto" w:fill="auto"/>
        </w:rPr>
      </w:pPr>
      <w:r>
        <w:rPr>
          <w:rFonts w:hint="default" w:ascii="Times New Roman" w:hAnsi="Times New Roman" w:eastAsia="方正楷体简体" w:cs="Times New Roman"/>
          <w:b w:val="0"/>
          <w:bCs/>
          <w:color w:val="auto"/>
          <w:sz w:val="32"/>
          <w:szCs w:val="32"/>
          <w:shd w:val="clear" w:color="auto" w:fill="auto"/>
        </w:rPr>
        <w:t>（四）政府采购支出情况说明</w:t>
      </w:r>
    </w:p>
    <w:p w14:paraId="1D9463A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8"/>
          <w:rFonts w:hint="default" w:ascii="Times New Roman" w:hAnsi="Times New Roman" w:eastAsia="方正黑体简体" w:cs="Times New Roman"/>
          <w:b w:val="0"/>
          <w:bCs/>
          <w:color w:val="auto"/>
          <w:sz w:val="32"/>
          <w:szCs w:val="32"/>
          <w:shd w:val="clear" w:color="auto" w:fill="auto"/>
          <w:lang w:val="en-US" w:eastAsia="zh-CN" w:bidi="ar-SA"/>
        </w:rPr>
      </w:pPr>
      <w:r>
        <w:rPr>
          <w:rFonts w:hint="default" w:ascii="Times New Roman" w:hAnsi="Times New Roman" w:eastAsia="方正仿宋简体" w:cs="Times New Roman"/>
          <w:b w:val="0"/>
          <w:bCs/>
          <w:color w:val="auto"/>
          <w:sz w:val="32"/>
          <w:szCs w:val="32"/>
          <w:shd w:val="clear" w:color="auto" w:fill="auto"/>
          <w:lang w:eastAsia="zh-CN"/>
        </w:rPr>
        <w:t>2024年</w:t>
      </w:r>
      <w:r>
        <w:rPr>
          <w:rFonts w:hint="default" w:ascii="Times New Roman" w:hAnsi="Times New Roman" w:eastAsia="方正仿宋简体" w:cs="Times New Roman"/>
          <w:b w:val="0"/>
          <w:bCs/>
          <w:color w:val="auto"/>
          <w:sz w:val="32"/>
          <w:szCs w:val="32"/>
          <w:shd w:val="clear" w:color="auto" w:fill="auto"/>
        </w:rPr>
        <w:t>度我单位未发生政府采购事项，无相关经费支出。</w:t>
      </w:r>
      <w:r>
        <w:rPr>
          <w:rStyle w:val="8"/>
          <w:rFonts w:hint="default" w:ascii="Times New Roman" w:hAnsi="Times New Roman" w:eastAsia="方正黑体简体" w:cs="Times New Roman"/>
          <w:b w:val="0"/>
          <w:bCs/>
          <w:color w:val="auto"/>
          <w:sz w:val="32"/>
          <w:szCs w:val="32"/>
          <w:shd w:val="clear" w:color="auto" w:fill="auto"/>
          <w:lang w:val="en-US" w:eastAsia="zh-CN" w:bidi="ar-SA"/>
        </w:rPr>
        <w:t>五、2024年度预算绩效管理情况说明</w:t>
      </w:r>
    </w:p>
    <w:p w14:paraId="66996A4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color w:val="auto"/>
          <w:kern w:val="0"/>
          <w:sz w:val="32"/>
          <w:szCs w:val="32"/>
          <w:shd w:val="clear" w:color="auto" w:fill="auto"/>
        </w:rPr>
      </w:pPr>
      <w:r>
        <w:rPr>
          <w:rFonts w:hint="default" w:ascii="Times New Roman" w:hAnsi="Times New Roman" w:eastAsia="方正楷体简体" w:cs="Times New Roman"/>
          <w:b w:val="0"/>
          <w:bCs w:val="0"/>
          <w:color w:val="auto"/>
          <w:kern w:val="0"/>
          <w:sz w:val="32"/>
          <w:szCs w:val="32"/>
          <w:shd w:val="clear" w:color="auto" w:fill="auto"/>
        </w:rPr>
        <w:t>（一）预算绩效管理工作开展情况</w:t>
      </w:r>
    </w:p>
    <w:p w14:paraId="3D9943D0">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根据预算绩效管理要求，我单位对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个项目开展了绩效自评，其中，以填报自评表形式开展自评</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项，涉及资金</w:t>
      </w:r>
      <w:r>
        <w:rPr>
          <w:rFonts w:hint="default" w:ascii="Times New Roman" w:hAnsi="Times New Roman" w:eastAsia="方正仿宋简体" w:cs="Times New Roman"/>
          <w:color w:val="auto"/>
          <w:kern w:val="0"/>
          <w:sz w:val="32"/>
          <w:szCs w:val="32"/>
          <w:shd w:val="clear" w:color="auto" w:fill="auto"/>
          <w:lang w:val="en-US" w:eastAsia="zh-CN"/>
        </w:rPr>
        <w:t>1.58</w:t>
      </w:r>
      <w:r>
        <w:rPr>
          <w:rFonts w:hint="default" w:ascii="Times New Roman" w:hAnsi="Times New Roman" w:eastAsia="方正仿宋简体" w:cs="Times New Roman"/>
          <w:color w:val="auto"/>
          <w:kern w:val="0"/>
          <w:sz w:val="32"/>
          <w:szCs w:val="32"/>
          <w:shd w:val="clear" w:color="auto" w:fill="auto"/>
        </w:rPr>
        <w:t>万元。</w:t>
      </w:r>
    </w:p>
    <w:p w14:paraId="6A1C471D">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楷体简体" w:cs="Times New Roman"/>
          <w:b w:val="0"/>
          <w:bCs w:val="0"/>
          <w:color w:val="auto"/>
          <w:kern w:val="0"/>
          <w:sz w:val="32"/>
          <w:szCs w:val="32"/>
          <w:shd w:val="clear" w:color="auto" w:fill="auto"/>
        </w:rPr>
      </w:pPr>
      <w:r>
        <w:rPr>
          <w:rFonts w:hint="default" w:ascii="Times New Roman" w:hAnsi="Times New Roman" w:eastAsia="方正楷体简体" w:cs="Times New Roman"/>
          <w:b w:val="0"/>
          <w:bCs w:val="0"/>
          <w:color w:val="auto"/>
          <w:kern w:val="0"/>
          <w:sz w:val="32"/>
          <w:szCs w:val="32"/>
          <w:shd w:val="clear" w:color="auto" w:fill="auto"/>
        </w:rPr>
        <w:t>（二）绩效自评结果</w:t>
      </w:r>
    </w:p>
    <w:p w14:paraId="58A65F17">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1.项目绩效自评表。</w:t>
      </w:r>
    </w:p>
    <w:p w14:paraId="24A13B05">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详见附件。</w:t>
      </w:r>
    </w:p>
    <w:p w14:paraId="6CDF9A73">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2.项目绩效自评报告或案例。</w:t>
      </w:r>
    </w:p>
    <w:p w14:paraId="0220A3C0">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b w:val="0"/>
          <w:bCs w:val="0"/>
          <w:color w:val="auto"/>
          <w:kern w:val="0"/>
          <w:sz w:val="32"/>
          <w:szCs w:val="32"/>
          <w:shd w:val="clear" w:color="auto" w:fill="auto"/>
        </w:rPr>
      </w:pPr>
      <w:r>
        <w:rPr>
          <w:rFonts w:hint="default" w:ascii="Times New Roman" w:hAnsi="Times New Roman" w:eastAsia="方正仿宋简体" w:cs="Times New Roman"/>
          <w:b w:val="0"/>
          <w:bCs w:val="0"/>
          <w:color w:val="auto"/>
          <w:kern w:val="0"/>
          <w:sz w:val="32"/>
          <w:szCs w:val="32"/>
          <w:shd w:val="clear" w:color="auto" w:fill="auto"/>
        </w:rPr>
        <w:t>我单位未委托第三方开展绩效评价。</w:t>
      </w:r>
    </w:p>
    <w:p w14:paraId="54D3AE8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3.关于绩效自评结果的说明。</w:t>
      </w:r>
    </w:p>
    <w:p w14:paraId="54B5CC64">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简体" w:cs="Times New Roman"/>
          <w:color w:val="auto"/>
          <w:kern w:val="0"/>
          <w:sz w:val="32"/>
          <w:szCs w:val="32"/>
          <w:shd w:val="clear" w:color="auto" w:fill="auto"/>
        </w:rPr>
      </w:pPr>
      <w:r>
        <w:rPr>
          <w:rFonts w:hint="default" w:ascii="Times New Roman" w:hAnsi="Times New Roman" w:eastAsia="方正仿宋简体" w:cs="Times New Roman"/>
          <w:color w:val="auto"/>
          <w:kern w:val="0"/>
          <w:sz w:val="32"/>
          <w:szCs w:val="32"/>
          <w:shd w:val="clear" w:color="auto" w:fill="auto"/>
        </w:rPr>
        <w:t>我单位对</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项目进行绩效自评，其中</w:t>
      </w:r>
      <w:r>
        <w:rPr>
          <w:rFonts w:hint="default" w:ascii="Times New Roman" w:hAnsi="Times New Roman" w:eastAsia="方正仿宋简体" w:cs="Times New Roman"/>
          <w:color w:val="auto"/>
          <w:kern w:val="0"/>
          <w:sz w:val="32"/>
          <w:szCs w:val="32"/>
          <w:shd w:val="clear" w:color="auto" w:fill="auto"/>
          <w:lang w:val="en-US" w:eastAsia="zh-CN"/>
        </w:rPr>
        <w:t>1</w:t>
      </w:r>
      <w:r>
        <w:rPr>
          <w:rFonts w:hint="default" w:ascii="Times New Roman" w:hAnsi="Times New Roman" w:eastAsia="方正仿宋简体" w:cs="Times New Roman"/>
          <w:color w:val="auto"/>
          <w:kern w:val="0"/>
          <w:sz w:val="32"/>
          <w:szCs w:val="32"/>
          <w:shd w:val="clear" w:color="auto" w:fill="auto"/>
        </w:rPr>
        <w:t>个已完成年度绩效目标。</w:t>
      </w:r>
    </w:p>
    <w:p w14:paraId="3602777B">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楷体简体" w:cs="Times New Roman"/>
          <w:b w:val="0"/>
          <w:bCs w:val="0"/>
          <w:color w:val="auto"/>
          <w:kern w:val="0"/>
          <w:sz w:val="32"/>
          <w:szCs w:val="32"/>
          <w:shd w:val="clear" w:color="auto" w:fill="auto"/>
          <w:lang w:val="en-US" w:eastAsia="zh-CN" w:bidi="ar"/>
        </w:rPr>
      </w:pPr>
      <w:r>
        <w:rPr>
          <w:rFonts w:hint="default" w:ascii="Times New Roman" w:hAnsi="Times New Roman" w:eastAsia="方正楷体简体" w:cs="Times New Roman"/>
          <w:b w:val="0"/>
          <w:bCs w:val="0"/>
          <w:color w:val="auto"/>
          <w:kern w:val="0"/>
          <w:sz w:val="32"/>
          <w:szCs w:val="32"/>
          <w:shd w:val="clear" w:color="auto" w:fill="auto"/>
          <w:lang w:val="en-US" w:eastAsia="zh-CN" w:bidi="ar"/>
        </w:rPr>
        <w:t xml:space="preserve">（三）财政重点绩效评价情况 </w:t>
      </w:r>
    </w:p>
    <w:p w14:paraId="47DF7D45">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default" w:ascii="Times New Roman" w:hAnsi="Times New Roman" w:eastAsia="方正仿宋简体" w:cs="Times New Roman"/>
          <w:b w:val="0"/>
          <w:bCs w:val="0"/>
          <w:color w:val="auto"/>
          <w:kern w:val="0"/>
          <w:sz w:val="32"/>
          <w:szCs w:val="32"/>
          <w:shd w:val="clear" w:color="auto" w:fill="auto"/>
          <w:lang w:val="en-US" w:eastAsia="zh-CN"/>
        </w:rPr>
      </w:pPr>
      <w:r>
        <w:rPr>
          <w:rFonts w:hint="default" w:ascii="Times New Roman" w:hAnsi="Times New Roman" w:eastAsia="方正仿宋简体" w:cs="Times New Roman"/>
          <w:b w:val="0"/>
          <w:bCs w:val="0"/>
          <w:color w:val="auto"/>
          <w:kern w:val="0"/>
          <w:sz w:val="32"/>
          <w:szCs w:val="32"/>
          <w:shd w:val="clear" w:color="auto" w:fill="auto"/>
          <w:lang w:val="en-US" w:eastAsia="zh-CN"/>
        </w:rPr>
        <w:t>我单位无财政重点绩效评价项目。</w:t>
      </w:r>
    </w:p>
    <w:p w14:paraId="14C45756">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黑体简体" w:cs="Times New Roman"/>
          <w:b w:val="0"/>
          <w:bCs w:val="0"/>
          <w:color w:val="auto"/>
          <w:kern w:val="0"/>
          <w:sz w:val="32"/>
          <w:szCs w:val="32"/>
          <w:shd w:val="clear" w:color="auto" w:fill="auto"/>
        </w:rPr>
      </w:pPr>
      <w:r>
        <w:rPr>
          <w:rStyle w:val="11"/>
          <w:rFonts w:hint="default" w:ascii="Times New Roman" w:hAnsi="Times New Roman" w:eastAsia="方正黑体简体" w:cs="Times New Roman"/>
          <w:b w:val="0"/>
          <w:bCs w:val="0"/>
          <w:color w:val="auto"/>
          <w:sz w:val="32"/>
          <w:szCs w:val="32"/>
          <w:shd w:val="clear" w:color="auto" w:fill="auto"/>
        </w:rPr>
        <w:t xml:space="preserve"> </w:t>
      </w:r>
      <w:r>
        <w:rPr>
          <w:rStyle w:val="11"/>
          <w:rFonts w:hint="default" w:ascii="Times New Roman" w:hAnsi="Times New Roman" w:eastAsia="方正黑体简体" w:cs="Times New Roman"/>
          <w:b w:val="0"/>
          <w:bCs w:val="0"/>
          <w:color w:val="auto"/>
          <w:sz w:val="32"/>
          <w:szCs w:val="32"/>
          <w:shd w:val="clear" w:color="auto" w:fill="auto"/>
          <w:lang w:val="en-US" w:eastAsia="zh-CN"/>
        </w:rPr>
        <w:t xml:space="preserve">  </w:t>
      </w:r>
      <w:r>
        <w:rPr>
          <w:rStyle w:val="8"/>
          <w:rFonts w:hint="default" w:ascii="Times New Roman" w:hAnsi="Times New Roman" w:eastAsia="方正黑体简体" w:cs="Times New Roman"/>
          <w:b w:val="0"/>
          <w:bCs w:val="0"/>
          <w:color w:val="auto"/>
          <w:sz w:val="32"/>
          <w:szCs w:val="32"/>
          <w:shd w:val="clear" w:color="auto" w:fill="auto"/>
          <w:lang w:val="en-US" w:eastAsia="zh-CN" w:bidi="ar-SA"/>
        </w:rPr>
        <w:t xml:space="preserve"> 六、专业名词解释</w:t>
      </w:r>
    </w:p>
    <w:p w14:paraId="0A27667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（一）财政拨款收入：</w:t>
      </w:r>
      <w:r>
        <w:rPr>
          <w:rFonts w:hint="default" w:ascii="Times New Roman" w:hAnsi="Times New Roman" w:eastAsia="方正仿宋简体" w:cs="Times New Roman"/>
          <w:color w:val="auto"/>
          <w:kern w:val="0"/>
          <w:sz w:val="32"/>
          <w:szCs w:val="32"/>
          <w:shd w:val="clear" w:color="auto" w:fill="auto"/>
        </w:rPr>
        <w:t>指本年度从本级财政部门取得的财政拨款，包括一般公共预算财政拨款和政府性基金预算财政拨款。</w:t>
      </w:r>
    </w:p>
    <w:p w14:paraId="21568CD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（二）事业收入：</w:t>
      </w:r>
      <w:r>
        <w:rPr>
          <w:rFonts w:hint="default" w:ascii="Times New Roman" w:hAnsi="Times New Roman" w:eastAsia="方正仿宋简体" w:cs="Times New Roman"/>
          <w:color w:val="auto"/>
          <w:kern w:val="0"/>
          <w:sz w:val="32"/>
          <w:szCs w:val="32"/>
          <w:shd w:val="clear" w:color="auto" w:fill="auto"/>
        </w:rPr>
        <w:t>指事业单位开展专业业务活动及其辅助活动取得的现金流入；事业单位收到的财政专户实际核拨的教育收费等资金在此反映。</w:t>
      </w:r>
    </w:p>
    <w:p w14:paraId="782EC6DF">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（三）经营收入：</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指事业单位在专业业务活动及其辅助活动之外开展非独立核算经营活动取得的现金流入。</w:t>
      </w:r>
    </w:p>
    <w:p w14:paraId="147FB4E0">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（四）其他收入：</w:t>
      </w:r>
      <w:r>
        <w:rPr>
          <w:rFonts w:hint="default" w:ascii="Times New Roman" w:hAnsi="Times New Roman" w:eastAsia="方正仿宋简体" w:cs="Times New Roman"/>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8DD1B7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（五）使用非财政拨款结余：</w:t>
      </w:r>
      <w:r>
        <w:rPr>
          <w:rFonts w:hint="default" w:ascii="Times New Roman" w:hAnsi="Times New Roman" w:eastAsia="方正仿宋简体" w:cs="Times New Roman"/>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69008377">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（六）年初结转和结余：</w:t>
      </w:r>
      <w:r>
        <w:rPr>
          <w:rFonts w:hint="default" w:ascii="Times New Roman" w:hAnsi="Times New Roman" w:eastAsia="方正仿宋简体" w:cs="Times New Roman"/>
          <w:color w:val="auto"/>
          <w:kern w:val="0"/>
          <w:sz w:val="32"/>
          <w:szCs w:val="32"/>
          <w:shd w:val="clear" w:color="auto" w:fill="auto"/>
        </w:rPr>
        <w:t>指单位上年结转本年使用的基本支出结转、项目支出结转和结余、经营结余。</w:t>
      </w:r>
    </w:p>
    <w:p w14:paraId="3957D02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（七）结余分配：</w:t>
      </w:r>
      <w:r>
        <w:rPr>
          <w:rFonts w:hint="default" w:ascii="Times New Roman" w:hAnsi="Times New Roman" w:eastAsia="方正仿宋简体" w:cs="Times New Roman"/>
          <w:color w:val="auto"/>
          <w:kern w:val="0"/>
          <w:sz w:val="32"/>
          <w:szCs w:val="32"/>
          <w:shd w:val="clear" w:color="auto" w:fill="auto"/>
        </w:rPr>
        <w:t>指单位按照国家有关规定，缴纳所得税、提取专用基金、转入非财政拨款结余等当年结余的分配情况。</w:t>
      </w:r>
    </w:p>
    <w:p w14:paraId="273EEFDB">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（八）年末结转和结余：</w:t>
      </w:r>
      <w:r>
        <w:rPr>
          <w:rFonts w:hint="default" w:ascii="Times New Roman" w:hAnsi="Times New Roman" w:eastAsia="方正仿宋简体" w:cs="Times New Roman"/>
          <w:color w:val="auto"/>
          <w:kern w:val="0"/>
          <w:sz w:val="32"/>
          <w:szCs w:val="32"/>
          <w:shd w:val="clear" w:color="auto" w:fill="auto"/>
        </w:rPr>
        <w:t>指单位结转下年的基本支出结转、项目支出结转和结余、经营结余。</w:t>
      </w:r>
    </w:p>
    <w:p w14:paraId="48887705">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（九）基本支出：</w:t>
      </w:r>
      <w:r>
        <w:rPr>
          <w:rFonts w:hint="default" w:ascii="Times New Roman" w:hAnsi="Times New Roman" w:eastAsia="方正仿宋简体" w:cs="Times New Roman"/>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4884A2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（十）项目支出：</w:t>
      </w:r>
      <w:r>
        <w:rPr>
          <w:rFonts w:hint="default" w:ascii="Times New Roman" w:hAnsi="Times New Roman" w:eastAsia="方正仿宋简体" w:cs="Times New Roman"/>
          <w:color w:val="auto"/>
          <w:kern w:val="0"/>
          <w:sz w:val="32"/>
          <w:szCs w:val="32"/>
          <w:shd w:val="clear" w:color="auto" w:fill="auto"/>
        </w:rPr>
        <w:t>指在基本支出之外为完成特定行政任务和事业发展目标所发生的支出。</w:t>
      </w:r>
    </w:p>
    <w:p w14:paraId="6B7A9A7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（十一）经营支出：</w:t>
      </w:r>
      <w:r>
        <w:rPr>
          <w:rFonts w:hint="default" w:ascii="Times New Roman" w:hAnsi="Times New Roman" w:eastAsia="方正仿宋简体" w:cs="Times New Roman"/>
          <w:color w:val="auto"/>
          <w:kern w:val="0"/>
          <w:sz w:val="32"/>
          <w:szCs w:val="32"/>
          <w:shd w:val="clear" w:color="auto" w:fill="auto"/>
        </w:rPr>
        <w:t>指事业单位在专业业务活动及其辅助活动之外开展非独立核算经营活动发生的支出。</w:t>
      </w:r>
    </w:p>
    <w:p w14:paraId="1B535146">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（十二）“三公”经费：</w:t>
      </w:r>
      <w:r>
        <w:rPr>
          <w:rFonts w:hint="default" w:ascii="Times New Roman" w:hAnsi="Times New Roman" w:eastAsia="方正仿宋简体" w:cs="Times New Roman"/>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D17250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（十三）机关运行经费：</w:t>
      </w:r>
      <w:r>
        <w:rPr>
          <w:rFonts w:hint="default" w:ascii="Times New Roman" w:hAnsi="Times New Roman" w:eastAsia="方正仿宋简体" w:cs="Times New Roman"/>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A0565E3">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（十四）工资福利支出（支出经济分类科目类级）：</w:t>
      </w:r>
      <w:r>
        <w:rPr>
          <w:rFonts w:hint="default" w:ascii="Times New Roman" w:hAnsi="Times New Roman" w:eastAsia="方正仿宋简体" w:cs="Times New Roman"/>
          <w:color w:val="auto"/>
          <w:kern w:val="0"/>
          <w:sz w:val="32"/>
          <w:szCs w:val="32"/>
          <w:shd w:val="clear" w:color="auto" w:fill="auto"/>
        </w:rPr>
        <w:t>反映单位开支的在职职工和编制外长期聘用人员的各类劳动报酬，以及为上述人员缴纳的各项社会保险费等。</w:t>
      </w:r>
    </w:p>
    <w:p w14:paraId="627AA289">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（十五）商品和服务支出（支出经济分类科目类级）：</w:t>
      </w:r>
      <w:r>
        <w:rPr>
          <w:rFonts w:hint="default" w:ascii="Times New Roman" w:hAnsi="Times New Roman" w:eastAsia="方正仿宋简体" w:cs="Times New Roman"/>
          <w:color w:val="auto"/>
          <w:kern w:val="0"/>
          <w:sz w:val="32"/>
          <w:szCs w:val="32"/>
          <w:shd w:val="clear" w:color="auto" w:fill="auto"/>
        </w:rPr>
        <w:t>反映单位购买商品和服务的支出（不包括用于购置固定资产的支出、战略性和应急储备支出）。</w:t>
      </w:r>
    </w:p>
    <w:p w14:paraId="69FAB4D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（十六）对个人和家庭的补助（支出经济分类科目类级）：</w:t>
      </w:r>
      <w:r>
        <w:rPr>
          <w:rFonts w:hint="default" w:ascii="Times New Roman" w:hAnsi="Times New Roman" w:eastAsia="方正仿宋简体" w:cs="Times New Roman"/>
          <w:color w:val="auto"/>
          <w:kern w:val="0"/>
          <w:sz w:val="32"/>
          <w:szCs w:val="32"/>
          <w:shd w:val="clear" w:color="auto" w:fill="auto"/>
        </w:rPr>
        <w:t>反映用于对个人和家庭的补助支出。</w:t>
      </w:r>
    </w:p>
    <w:p w14:paraId="498DFCAC">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简体" w:cs="Times New Roman"/>
          <w:color w:val="auto"/>
          <w:kern w:val="0"/>
          <w:sz w:val="32"/>
          <w:szCs w:val="32"/>
          <w:shd w:val="clear" w:color="auto" w:fill="auto"/>
        </w:rPr>
      </w:pPr>
      <w:r>
        <w:rPr>
          <w:rStyle w:val="8"/>
          <w:rFonts w:hint="default" w:ascii="Times New Roman" w:hAnsi="Times New Roman" w:eastAsia="方正仿宋简体" w:cs="Times New Roman"/>
          <w:color w:val="auto"/>
          <w:sz w:val="32"/>
          <w:szCs w:val="32"/>
          <w:shd w:val="clear" w:color="auto" w:fill="auto"/>
          <w:lang w:val="en-US" w:eastAsia="zh-CN" w:bidi="ar-SA"/>
        </w:rPr>
        <w:t>（十七）其他资本性支出（支出经济分类科目类级）：</w:t>
      </w:r>
      <w:r>
        <w:rPr>
          <w:rFonts w:hint="default" w:ascii="Times New Roman" w:hAnsi="Times New Roman" w:eastAsia="方正仿宋简体" w:cs="Times New Roman"/>
          <w:color w:val="auto"/>
          <w:kern w:val="0"/>
          <w:sz w:val="32"/>
          <w:szCs w:val="32"/>
          <w:shd w:val="clear" w:color="auto" w:fill="auto"/>
        </w:rPr>
        <w:t>反映非各级发展与改革部门集中安排的用于购置固定资产、战略性和应急性储备、土地和无形资产，</w:t>
      </w:r>
      <w:bookmarkStart w:id="0" w:name="_GoBack"/>
      <w:bookmarkEnd w:id="0"/>
      <w:r>
        <w:rPr>
          <w:rFonts w:hint="default" w:ascii="Times New Roman" w:hAnsi="Times New Roman" w:eastAsia="方正仿宋简体" w:cs="Times New Roman"/>
          <w:color w:val="auto"/>
          <w:kern w:val="0"/>
          <w:sz w:val="32"/>
          <w:szCs w:val="32"/>
          <w:shd w:val="clear" w:color="auto" w:fill="auto"/>
        </w:rPr>
        <w:t>以及构建基础设施、大型修缮和财政支持企业更新改造所发生的支出。</w:t>
      </w:r>
    </w:p>
    <w:p w14:paraId="427095F2">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黑体简体" w:cs="Times New Roman"/>
          <w:b w:val="0"/>
          <w:bCs/>
          <w:color w:val="auto"/>
          <w:kern w:val="0"/>
          <w:sz w:val="32"/>
          <w:szCs w:val="32"/>
          <w:shd w:val="clear" w:color="auto" w:fill="auto"/>
        </w:rPr>
      </w:pPr>
      <w:r>
        <w:rPr>
          <w:rStyle w:val="8"/>
          <w:rFonts w:hint="default" w:ascii="Times New Roman" w:hAnsi="Times New Roman" w:eastAsia="方正黑体简体" w:cs="Times New Roman"/>
          <w:b w:val="0"/>
          <w:bCs/>
          <w:color w:val="auto"/>
          <w:sz w:val="32"/>
          <w:szCs w:val="32"/>
          <w:shd w:val="clear" w:color="auto" w:fill="auto"/>
          <w:lang w:val="en-US" w:eastAsia="zh-CN" w:bidi="ar-SA"/>
        </w:rPr>
        <w:t>七、决算公开联系方式及信息反馈渠道</w:t>
      </w:r>
    </w:p>
    <w:p w14:paraId="42FCAF71">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b w:val="0"/>
          <w:bCs/>
          <w:color w:val="auto"/>
          <w:kern w:val="0"/>
          <w:sz w:val="32"/>
          <w:szCs w:val="32"/>
          <w:shd w:val="clear" w:color="auto" w:fill="auto"/>
          <w:lang w:val="en-US" w:eastAsia="zh-CN"/>
        </w:rPr>
      </w:pPr>
      <w:r>
        <w:rPr>
          <w:rFonts w:hint="default" w:ascii="Times New Roman" w:hAnsi="Times New Roman" w:eastAsia="方正仿宋简体" w:cs="Times New Roman"/>
          <w:b w:val="0"/>
          <w:bCs/>
          <w:color w:val="auto"/>
          <w:kern w:val="0"/>
          <w:sz w:val="32"/>
          <w:szCs w:val="32"/>
          <w:shd w:val="clear" w:color="auto" w:fill="auto"/>
        </w:rPr>
        <w:t>本单位决算公开信息反馈和联系方式：</w:t>
      </w:r>
      <w:r>
        <w:rPr>
          <w:rFonts w:hint="default" w:ascii="Times New Roman" w:hAnsi="Times New Roman" w:eastAsia="方正仿宋简体" w:cs="Times New Roman"/>
          <w:b w:val="0"/>
          <w:bCs/>
          <w:color w:val="auto"/>
          <w:kern w:val="0"/>
          <w:sz w:val="32"/>
          <w:szCs w:val="32"/>
          <w:shd w:val="clear" w:color="auto" w:fill="auto"/>
          <w:lang w:eastAsia="zh-CN"/>
        </w:rPr>
        <w:t>张星</w:t>
      </w:r>
      <w:r>
        <w:rPr>
          <w:rFonts w:hint="default" w:ascii="Times New Roman" w:hAnsi="Times New Roman" w:eastAsia="方正仿宋简体" w:cs="Times New Roman"/>
          <w:b w:val="0"/>
          <w:bCs/>
          <w:color w:val="auto"/>
          <w:kern w:val="0"/>
          <w:sz w:val="32"/>
          <w:szCs w:val="32"/>
          <w:shd w:val="clear" w:color="auto" w:fill="auto"/>
          <w:lang w:val="en-US" w:eastAsia="zh-CN"/>
        </w:rPr>
        <w:t>0</w:t>
      </w:r>
      <w:r>
        <w:rPr>
          <w:rFonts w:hint="default" w:ascii="Times New Roman" w:hAnsi="Times New Roman" w:eastAsia="方正仿宋简体" w:cs="Times New Roman"/>
          <w:b w:val="0"/>
          <w:bCs/>
          <w:color w:val="auto"/>
          <w:kern w:val="0"/>
          <w:sz w:val="32"/>
          <w:szCs w:val="32"/>
          <w:shd w:val="clear" w:color="auto" w:fill="auto"/>
        </w:rPr>
        <w:t>23-45581186</w:t>
      </w:r>
    </w:p>
    <w:p w14:paraId="562BDC6D">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bCs/>
          <w:color w:val="auto"/>
          <w:sz w:val="32"/>
          <w:szCs w:val="32"/>
          <w:shd w:val="clear" w:color="auto" w:fill="auto"/>
          <w:lang w:val="en-US" w:eastAsia="zh-CN"/>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1F33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A3D58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1A3D58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EDF1A8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EDF1A8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3D08F">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8829F1"/>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1F5564"/>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3830F6"/>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CEE0E79"/>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9E68AE"/>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F6BF7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7711</Words>
  <Characters>21008</Characters>
  <Lines>161</Lines>
  <Paragraphs>45</Paragraphs>
  <TotalTime>1</TotalTime>
  <ScaleCrop>false</ScaleCrop>
  <LinksUpToDate>false</LinksUpToDate>
  <CharactersWithSpaces>21460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酸奶girl</cp:lastModifiedBy>
  <dcterms:modified xsi:type="dcterms:W3CDTF">2025-10-29T11:18:05Z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9EDAFD8FD9424A54844071572B3E9A06_13</vt:lpwstr>
  </property>
</Properties>
</file>