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重庆市铜梁区太平镇</w:t>
      </w:r>
      <w:r>
        <w:rPr>
          <w:rFonts w:hint="eastAsia" w:ascii="方正小标宋_GBK" w:hAnsi="Times New Roman" w:eastAsia="方正小标宋_GBK" w:cs="Times New Roman"/>
          <w:sz w:val="44"/>
          <w:szCs w:val="44"/>
          <w:lang w:eastAsia="zh-CN"/>
        </w:rPr>
        <w:t>退役军人服务站</w:t>
      </w:r>
    </w:p>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年度决算公开说明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sz w:val="32"/>
          <w:szCs w:val="32"/>
          <w:lang w:eastAsia="zh-CN"/>
        </w:rPr>
        <w:t>单位</w:t>
      </w:r>
      <w:r>
        <w:rPr>
          <w:rFonts w:hint="eastAsia" w:ascii="方正黑体_GBK" w:hAnsi="Times New Roman" w:eastAsia="方正黑体_GBK" w:cs="Times New Roman"/>
          <w:sz w:val="32"/>
          <w:szCs w:val="32"/>
        </w:rPr>
        <w:t>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ageBreakBefore w:val="0"/>
        <w:widowControl w:val="0"/>
        <w:kinsoku/>
        <w:wordWrap/>
        <w:overflowPunct/>
        <w:topLinePunct w:val="0"/>
        <w:autoSpaceDE/>
        <w:autoSpaceDN/>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完成退役军人关系转接、联络接待、困难帮扶、信息采集、情况反映、优抚对象补贴发放等服务保障工作，完成主管部门交办的其他任务。</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w:t>
      </w:r>
      <w:r>
        <w:rPr>
          <w:rFonts w:hint="eastAsia" w:ascii="Times New Roman" w:hAnsi="Times New Roman" w:eastAsia="方正仿宋_GBK" w:cs="Times New Roman"/>
          <w:sz w:val="32"/>
          <w:szCs w:val="32"/>
          <w:lang w:val="en-US" w:eastAsia="zh-CN"/>
        </w:rPr>
        <w:t>退役军人服务站为重庆市铜梁区</w:t>
      </w:r>
      <w:r>
        <w:rPr>
          <w:rFonts w:hint="eastAsia" w:ascii="方正仿宋_GBK" w:eastAsia="方正仿宋_GBK"/>
          <w:sz w:val="32"/>
          <w:szCs w:val="32"/>
          <w:lang w:eastAsia="zh-CN"/>
        </w:rPr>
        <w:t>太平镇人民政府下设</w:t>
      </w:r>
      <w:r>
        <w:rPr>
          <w:rFonts w:hint="eastAsia" w:ascii="方正仿宋_GBK" w:eastAsia="方正仿宋_GBK"/>
          <w:sz w:val="32"/>
          <w:szCs w:val="32"/>
        </w:rPr>
        <w:t>事业单位。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二、单位决算收支情况说明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年度收入总计</w:t>
      </w:r>
      <w:r>
        <w:rPr>
          <w:rFonts w:ascii="方正仿宋_GBK" w:hAnsi="方正仿宋_GBK" w:eastAsia="方正仿宋_GBK" w:cs="方正仿宋_GBK"/>
          <w:sz w:val="32"/>
          <w:szCs w:val="32"/>
          <w:shd w:val="clear" w:color="auto" w:fill="FFFFFF"/>
        </w:rPr>
        <w:t>42.68</w:t>
      </w:r>
      <w:r>
        <w:rPr>
          <w:rFonts w:hint="eastAsia" w:ascii="方正仿宋_GBK" w:eastAsia="方正仿宋_GBK" w:hAnsiTheme="minorHAnsi" w:cstheme="minorBidi"/>
          <w:kern w:val="2"/>
          <w:sz w:val="32"/>
          <w:szCs w:val="32"/>
          <w:lang w:val="en-US" w:eastAsia="zh-CN" w:bidi="ar-SA"/>
        </w:rPr>
        <w:t>万元，支出总计</w:t>
      </w:r>
      <w:r>
        <w:rPr>
          <w:rFonts w:ascii="方正仿宋_GBK" w:hAnsi="方正仿宋_GBK" w:eastAsia="方正仿宋_GBK" w:cs="方正仿宋_GBK"/>
          <w:sz w:val="32"/>
          <w:szCs w:val="32"/>
          <w:shd w:val="clear" w:color="auto" w:fill="FFFFFF"/>
        </w:rPr>
        <w:t>42.68</w:t>
      </w:r>
      <w:r>
        <w:rPr>
          <w:rFonts w:hint="eastAsia" w:ascii="方正仿宋_GBK" w:eastAsia="方正仿宋_GBK" w:hAnsiTheme="minorHAnsi" w:cstheme="minorBidi"/>
          <w:kern w:val="2"/>
          <w:sz w:val="32"/>
          <w:szCs w:val="32"/>
          <w:lang w:val="en-US" w:eastAsia="zh-CN" w:bidi="ar-SA"/>
        </w:rPr>
        <w:t>万元。收支较上年决算数</w:t>
      </w:r>
      <w:r>
        <w:rPr>
          <w:rFonts w:ascii="方正仿宋_GBK" w:hAnsi="方正仿宋_GBK" w:eastAsia="方正仿宋_GBK" w:cs="方正仿宋_GBK"/>
          <w:sz w:val="32"/>
          <w:szCs w:val="32"/>
          <w:shd w:val="clear" w:color="auto" w:fill="FFFFFF"/>
        </w:rPr>
        <w:t>增加42.68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年度收入合计</w:t>
      </w:r>
      <w:r>
        <w:rPr>
          <w:rFonts w:ascii="方正仿宋_GBK" w:hAnsi="方正仿宋_GBK" w:eastAsia="方正仿宋_GBK" w:cs="方正仿宋_GBK"/>
          <w:sz w:val="32"/>
          <w:szCs w:val="32"/>
          <w:shd w:val="clear" w:color="auto" w:fill="FFFFFF"/>
        </w:rPr>
        <w:t>42.68</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增加42.68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其中：财政拨款收入</w:t>
      </w:r>
      <w:r>
        <w:rPr>
          <w:rFonts w:ascii="方正仿宋_GBK" w:hAnsi="方正仿宋_GBK" w:eastAsia="方正仿宋_GBK" w:cs="方正仿宋_GBK"/>
          <w:sz w:val="32"/>
          <w:szCs w:val="32"/>
        </w:rPr>
        <w:t>42.68</w:t>
      </w:r>
      <w:r>
        <w:rPr>
          <w:rFonts w:hint="eastAsia" w:ascii="方正仿宋_GBK" w:eastAsia="方正仿宋_GBK" w:hAnsiTheme="minorHAnsi" w:cstheme="minorBidi"/>
          <w:kern w:val="2"/>
          <w:sz w:val="32"/>
          <w:szCs w:val="32"/>
          <w:lang w:val="en-US" w:eastAsia="zh-CN" w:bidi="ar-SA"/>
        </w:rPr>
        <w:t>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年度支出合计</w:t>
      </w:r>
      <w:r>
        <w:rPr>
          <w:rFonts w:ascii="方正仿宋_GBK" w:hAnsi="方正仿宋_GBK" w:eastAsia="方正仿宋_GBK" w:cs="方正仿宋_GBK"/>
          <w:sz w:val="32"/>
          <w:szCs w:val="32"/>
        </w:rPr>
        <w:t>42.68</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42.68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其中：基本支出</w:t>
      </w:r>
      <w:r>
        <w:rPr>
          <w:rFonts w:ascii="方正仿宋_GBK" w:hAnsi="方正仿宋_GBK" w:eastAsia="方正仿宋_GBK" w:cs="方正仿宋_GBK"/>
          <w:sz w:val="32"/>
          <w:szCs w:val="32"/>
        </w:rPr>
        <w:t>42.51</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99.59%</w:t>
      </w:r>
      <w:r>
        <w:rPr>
          <w:rFonts w:hint="eastAsia" w:ascii="方正仿宋_GBK" w:eastAsia="方正仿宋_GBK" w:hAnsiTheme="minorHAnsi" w:cstheme="minorBidi"/>
          <w:kern w:val="2"/>
          <w:sz w:val="32"/>
          <w:szCs w:val="32"/>
          <w:lang w:val="en-US" w:eastAsia="zh-CN" w:bidi="ar-SA"/>
        </w:rPr>
        <w:t>；项目支出</w:t>
      </w:r>
      <w:r>
        <w:rPr>
          <w:rFonts w:ascii="方正仿宋_GBK" w:hAnsi="方正仿宋_GBK" w:eastAsia="方正仿宋_GBK" w:cs="方正仿宋_GBK"/>
          <w:sz w:val="32"/>
          <w:szCs w:val="32"/>
        </w:rPr>
        <w:t>0.18</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0.41%</w:t>
      </w:r>
      <w:r>
        <w:rPr>
          <w:rFonts w:hint="eastAsia" w:ascii="方正仿宋_GBK" w:eastAsia="方正仿宋_GBK" w:hAnsiTheme="minorHAnsi" w:cstheme="minorBidi"/>
          <w:kern w:val="2"/>
          <w:sz w:val="32"/>
          <w:szCs w:val="32"/>
          <w:lang w:val="en-US" w:eastAsia="zh-CN" w:bidi="ar-SA"/>
        </w:rPr>
        <w:t>；经营支出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年度财政拨款收、支总计</w:t>
      </w:r>
      <w:r>
        <w:rPr>
          <w:rFonts w:ascii="方正仿宋_GBK" w:hAnsi="方正仿宋_GBK" w:eastAsia="方正仿宋_GBK" w:cs="方正仿宋_GBK"/>
          <w:sz w:val="32"/>
          <w:szCs w:val="32"/>
          <w:shd w:val="clear" w:color="auto" w:fill="FFFFFF"/>
        </w:rPr>
        <w:t>42.68</w:t>
      </w:r>
      <w:r>
        <w:rPr>
          <w:rFonts w:hint="eastAsia" w:ascii="方正仿宋_GBK" w:eastAsia="方正仿宋_GBK" w:hAnsiTheme="minorHAnsi" w:cstheme="minorBidi"/>
          <w:kern w:val="2"/>
          <w:sz w:val="32"/>
          <w:szCs w:val="32"/>
          <w:lang w:val="en-US" w:eastAsia="zh-CN" w:bidi="ar-SA"/>
        </w:rPr>
        <w:t>万元。与</w:t>
      </w:r>
      <w:r>
        <w:rPr>
          <w:rFonts w:hint="eastAsia" w:ascii="方正仿宋_GBK" w:eastAsia="方正仿宋_GBK" w:cstheme="minorBidi"/>
          <w:kern w:val="2"/>
          <w:sz w:val="32"/>
          <w:szCs w:val="32"/>
          <w:lang w:val="en-US" w:eastAsia="zh-CN" w:bidi="ar-SA"/>
        </w:rPr>
        <w:t>2023</w:t>
      </w:r>
      <w:r>
        <w:rPr>
          <w:rFonts w:hint="eastAsia" w:ascii="方正仿宋_GBK" w:eastAsia="方正仿宋_GBK" w:hAnsiTheme="minorHAnsi" w:cstheme="minorBidi"/>
          <w:kern w:val="2"/>
          <w:sz w:val="32"/>
          <w:szCs w:val="32"/>
          <w:lang w:val="en-US" w:eastAsia="zh-CN" w:bidi="ar-SA"/>
        </w:rPr>
        <w:t>年相比，财政拨款收、支总计各</w:t>
      </w:r>
      <w:r>
        <w:rPr>
          <w:rFonts w:ascii="方正仿宋_GBK" w:hAnsi="方正仿宋_GBK" w:eastAsia="方正仿宋_GBK" w:cs="方正仿宋_GBK"/>
          <w:sz w:val="32"/>
          <w:szCs w:val="32"/>
          <w:shd w:val="clear" w:color="auto" w:fill="FFFFFF"/>
        </w:rPr>
        <w:t>增加42.68</w:t>
      </w:r>
      <w:r>
        <w:rPr>
          <w:rFonts w:hint="eastAsia" w:ascii="方正仿宋_GBK" w:hAnsi="方正仿宋_GBK" w:eastAsia="方正仿宋_GBK" w:cs="方正仿宋_GBK"/>
          <w:sz w:val="32"/>
          <w:szCs w:val="32"/>
          <w:shd w:val="clear" w:color="auto" w:fill="FFFFFF"/>
          <w:lang w:eastAsia="zh-CN"/>
        </w:rPr>
        <w:t>万</w:t>
      </w:r>
      <w:r>
        <w:rPr>
          <w:rFonts w:hint="eastAsia" w:ascii="方正仿宋_GBK" w:eastAsia="方正仿宋_GBK" w:hAnsiTheme="minorHAnsi" w:cstheme="minorBidi"/>
          <w:kern w:val="2"/>
          <w:sz w:val="32"/>
          <w:szCs w:val="32"/>
          <w:lang w:val="en-US" w:eastAsia="zh-CN" w:bidi="ar-SA"/>
        </w:rPr>
        <w:t>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支</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年度一般公共预算财政拨款收入</w:t>
      </w:r>
      <w:r>
        <w:rPr>
          <w:rFonts w:ascii="方正仿宋_GBK" w:hAnsi="方正仿宋_GBK" w:eastAsia="方正仿宋_GBK" w:cs="方正仿宋_GBK"/>
          <w:sz w:val="32"/>
          <w:szCs w:val="32"/>
          <w:shd w:val="clear" w:color="auto" w:fill="FFFFFF"/>
        </w:rPr>
        <w:t>42.68</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增加42.68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入</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较年初预算数减少17.56万元，下降29.2%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社</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会保障和就业、卫生健康方面财政拨款收入比预算数减少</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；此外</w:t>
      </w:r>
      <w:r>
        <w:rPr>
          <w:rFonts w:hint="eastAsia" w:ascii="方正仿宋_GBK" w:eastAsia="方正仿宋_GBK" w:hAnsiTheme="minorHAnsi" w:cstheme="minorBidi"/>
          <w:kern w:val="2"/>
          <w:sz w:val="32"/>
          <w:szCs w:val="32"/>
          <w:lang w:val="en-US" w:eastAsia="zh-CN" w:bidi="ar-SA"/>
        </w:rPr>
        <w:t>，年初财政拨款结转和结余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年度一般公共预算财政拨款支出</w:t>
      </w:r>
      <w:r>
        <w:rPr>
          <w:rFonts w:ascii="方正仿宋_GBK" w:hAnsi="方正仿宋_GBK" w:eastAsia="方正仿宋_GBK" w:cs="方正仿宋_GBK"/>
          <w:sz w:val="32"/>
          <w:szCs w:val="32"/>
        </w:rPr>
        <w:t>42.68</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增加42.68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减少17.56</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下降29.2%</w:t>
      </w:r>
      <w:r>
        <w:rPr>
          <w:rFonts w:hint="eastAsia" w:ascii="方正仿宋_GBK" w:eastAsia="方正仿宋_GBK" w:hAnsiTheme="minorHAnsi" w:cstheme="minorBidi"/>
          <w:kern w:val="2"/>
          <w:sz w:val="32"/>
          <w:szCs w:val="32"/>
          <w:lang w:val="en-US" w:eastAsia="zh-CN" w:bidi="ar-SA"/>
        </w:rPr>
        <w:t>。主要原因是社</w:t>
      </w:r>
      <w:r>
        <w:rPr>
          <w:rFonts w:hint="eastAsia" w:ascii="方正仿宋_GBK" w:eastAsia="方正仿宋_GBK" w:cstheme="minorBidi"/>
          <w:kern w:val="2"/>
          <w:sz w:val="32"/>
          <w:szCs w:val="32"/>
          <w:lang w:val="en-US" w:eastAsia="zh-CN" w:bidi="ar-SA"/>
        </w:rPr>
        <w:t>会保障和就业、卫生健康方面财政拨款支出比预算数减少。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4.比较情况。本</w:t>
      </w:r>
      <w:r>
        <w:rPr>
          <w:rFonts w:hint="eastAsia" w:ascii="方正仿宋_GBK" w:eastAsia="方正仿宋_GBK" w:cstheme="minorBidi"/>
          <w:kern w:val="2"/>
          <w:sz w:val="32"/>
          <w:szCs w:val="32"/>
          <w:lang w:val="en-US" w:eastAsia="zh-CN" w:bidi="ar-SA"/>
        </w:rPr>
        <w:t>单位2024</w:t>
      </w:r>
      <w:r>
        <w:rPr>
          <w:rFonts w:hint="eastAsia" w:ascii="方正仿宋_GBK" w:eastAsia="方正仿宋_GBK" w:hAnsiTheme="minorHAnsi" w:cstheme="minorBidi"/>
          <w:kern w:val="2"/>
          <w:sz w:val="32"/>
          <w:szCs w:val="32"/>
          <w:lang w:val="en-US" w:eastAsia="zh-CN" w:bidi="ar-SA"/>
        </w:rPr>
        <w:t>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（1）一般公共服务支出0万元，占0.0%，较年初预算数减少10万元，下降100.0%，主要原因是本年度一般公共服务支出未安排项目支出。</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（2）社会保障与就业支出38.73万元，占90.74%，较年初预算数减少7.02万元，下降15.3%，主要原因是本年度调资，社保缴费比预算数减少。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3</w:t>
      </w:r>
      <w:r>
        <w:rPr>
          <w:rFonts w:hint="eastAsia" w:ascii="方正仿宋_GBK" w:eastAsia="方正仿宋_GBK" w:hAnsiTheme="minorHAnsi" w:cstheme="minorBidi"/>
          <w:kern w:val="2"/>
          <w:sz w:val="32"/>
          <w:szCs w:val="32"/>
          <w:lang w:val="en-US" w:eastAsia="zh-CN" w:bidi="ar-SA"/>
        </w:rPr>
        <w:t>）卫生健康支出</w:t>
      </w:r>
      <w:r>
        <w:rPr>
          <w:rFonts w:ascii="方正仿宋_GBK" w:hAnsi="方正仿宋_GBK" w:eastAsia="方正仿宋_GBK" w:cs="方正仿宋_GBK"/>
          <w:sz w:val="32"/>
          <w:szCs w:val="32"/>
        </w:rPr>
        <w:t>1.8</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rPr>
        <w:t>4.21</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减少0.54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下降23.1%</w:t>
      </w:r>
      <w:r>
        <w:rPr>
          <w:rFonts w:hint="eastAsia" w:ascii="方正仿宋_GBK" w:eastAsia="方正仿宋_GBK" w:hAnsiTheme="minorHAnsi" w:cstheme="minorBidi"/>
          <w:kern w:val="2"/>
          <w:sz w:val="32"/>
          <w:szCs w:val="32"/>
          <w:lang w:val="en-US" w:eastAsia="zh-CN" w:bidi="ar-SA"/>
        </w:rPr>
        <w:t>，主要原因是本年度调资，</w:t>
      </w:r>
      <w:r>
        <w:rPr>
          <w:rFonts w:hint="eastAsia" w:ascii="方正仿宋_GBK" w:eastAsia="方正仿宋_GBK" w:cstheme="minorBidi"/>
          <w:kern w:val="2"/>
          <w:sz w:val="32"/>
          <w:szCs w:val="32"/>
          <w:lang w:val="en-US" w:eastAsia="zh-CN" w:bidi="ar-SA"/>
        </w:rPr>
        <w:t>医疗保险</w:t>
      </w:r>
      <w:r>
        <w:rPr>
          <w:rFonts w:hint="eastAsia" w:ascii="方正仿宋_GBK" w:eastAsia="方正仿宋_GBK" w:hAnsiTheme="minorHAnsi" w:cstheme="minorBidi"/>
          <w:kern w:val="2"/>
          <w:sz w:val="32"/>
          <w:szCs w:val="32"/>
          <w:lang w:val="en-US" w:eastAsia="zh-CN" w:bidi="ar-SA"/>
        </w:rPr>
        <w:t>缴费</w:t>
      </w:r>
      <w:r>
        <w:rPr>
          <w:rFonts w:hint="eastAsia" w:ascii="方正仿宋_GBK" w:eastAsia="方正仿宋_GBK" w:cstheme="minorBidi"/>
          <w:kern w:val="2"/>
          <w:sz w:val="32"/>
          <w:szCs w:val="32"/>
          <w:lang w:val="en-US" w:eastAsia="zh-CN" w:bidi="ar-SA"/>
        </w:rPr>
        <w:t>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（4）</w:t>
      </w:r>
      <w:r>
        <w:rPr>
          <w:rFonts w:ascii="方正仿宋_GBK" w:hAnsi="方正仿宋_GBK" w:eastAsia="方正仿宋_GBK" w:cs="方正仿宋_GBK"/>
          <w:sz w:val="32"/>
          <w:szCs w:val="32"/>
        </w:rPr>
        <w:t>住房保障支出2.16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5.05</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42.51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41.62</w:t>
      </w:r>
      <w:r>
        <w:rPr>
          <w:rFonts w:ascii="方正仿宋_GBK" w:hAnsi="方正仿宋_GBK" w:eastAsia="方正仿宋_GBK" w:cs="方正仿宋_GBK"/>
          <w:sz w:val="32"/>
          <w:szCs w:val="32"/>
          <w:shd w:val="clear" w:color="auto" w:fill="FFFFFF"/>
        </w:rPr>
        <w:t>万元，较上年决算数增加41.62万元，增长100.0%，主要原因是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万元，较上年决算数增加0.89万元，增长100.0%，主要原因是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退役军人服务站</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eastAsia="方正仿宋_GBK" w:cstheme="minorBidi"/>
          <w:kern w:val="2"/>
          <w:sz w:val="32"/>
          <w:szCs w:val="32"/>
          <w:lang w:val="en-US" w:eastAsia="zh-CN" w:bidi="ar-SA"/>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本单位因公出国（境）费用0万元，费用支出较年初预算数增加0万元，增长0.0%。较上年支出数增加0万元，增长0.0%。2024年度我单位无因公出国（境）支出，与上年度决算数持平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费用支出较年初预算数增加0万元，增长0.0%。较上年支出数增加0万元，增长0.0%。2024年度我单位无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万元，机关运行经费主要用于</w:t>
      </w:r>
      <w:bookmarkStart w:id="0" w:name="_GoBack"/>
      <w:bookmarkEnd w:id="0"/>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辆，其中，副部（省）级及以上领导用车0辆、主要负责人用车0辆、机要通信用车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辆、执法执勤用车0辆，特种专业技术用车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辆，离退休干部用车0辆。单价100万元（含）以上专用设备</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0.18</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w:t>
      </w:r>
      <w:r>
        <w:rPr>
          <w:rFonts w:hint="eastAsia" w:ascii="方正仿宋_GBK" w:hAnsi="Calibri" w:eastAsia="方正仿宋_GBK" w:cs="Times New Roman"/>
          <w:kern w:val="2"/>
          <w:sz w:val="32"/>
          <w:szCs w:val="32"/>
          <w:lang w:eastAsia="zh-CN"/>
        </w:rPr>
        <w:t>退役军人服务站2024</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（三）财政重点绩效评价情况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Calibri" w:eastAsia="方正仿宋_GBK" w:cs="Times New Roman"/>
          <w:kern w:val="2"/>
          <w:sz w:val="32"/>
          <w:szCs w:val="32"/>
          <w:lang w:val="en-US" w:eastAsia="zh-CN"/>
        </w:rPr>
        <w:t>我单位无财政重点绩效评价项目。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r>
        <w:rPr>
          <w:rFonts w:hint="eastAsia" w:ascii="方正仿宋_GBK" w:eastAsia="方正仿宋_GBK"/>
          <w:sz w:val="32"/>
          <w:szCs w:val="32"/>
          <w:lang w:eastAsia="zh-CN"/>
        </w:rPr>
        <w:t>。</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jgzZTgzYTI4Y2EwMjUxYjQwYjA0NDU1YTQ5YmQifQ=="/>
  </w:docVars>
  <w:rsids>
    <w:rsidRoot w:val="00000000"/>
    <w:rsid w:val="000C7F6F"/>
    <w:rsid w:val="00906343"/>
    <w:rsid w:val="00A27233"/>
    <w:rsid w:val="00F811BC"/>
    <w:rsid w:val="015A7F2D"/>
    <w:rsid w:val="01B36BD0"/>
    <w:rsid w:val="029F722C"/>
    <w:rsid w:val="02B81FC4"/>
    <w:rsid w:val="03E72982"/>
    <w:rsid w:val="0458580D"/>
    <w:rsid w:val="04EB2C51"/>
    <w:rsid w:val="04F07001"/>
    <w:rsid w:val="05EB70A4"/>
    <w:rsid w:val="060373FF"/>
    <w:rsid w:val="061B5933"/>
    <w:rsid w:val="06293905"/>
    <w:rsid w:val="06FD56F0"/>
    <w:rsid w:val="07155C37"/>
    <w:rsid w:val="074B3727"/>
    <w:rsid w:val="074E3014"/>
    <w:rsid w:val="07B54B25"/>
    <w:rsid w:val="07E00403"/>
    <w:rsid w:val="08140FCE"/>
    <w:rsid w:val="08E06A0B"/>
    <w:rsid w:val="08F04266"/>
    <w:rsid w:val="0A3A6BD5"/>
    <w:rsid w:val="0A9F5D59"/>
    <w:rsid w:val="0AA16900"/>
    <w:rsid w:val="0B5E6191"/>
    <w:rsid w:val="0B6A5E36"/>
    <w:rsid w:val="0B927D10"/>
    <w:rsid w:val="0BD40F69"/>
    <w:rsid w:val="0C6B7B04"/>
    <w:rsid w:val="0D0F29CF"/>
    <w:rsid w:val="0D8E6743"/>
    <w:rsid w:val="0D957462"/>
    <w:rsid w:val="0E3B11CE"/>
    <w:rsid w:val="0EA746EC"/>
    <w:rsid w:val="0EF17C01"/>
    <w:rsid w:val="0F10356A"/>
    <w:rsid w:val="0F401DE9"/>
    <w:rsid w:val="0F5D6A14"/>
    <w:rsid w:val="0F631EFD"/>
    <w:rsid w:val="0FA250E1"/>
    <w:rsid w:val="113C371A"/>
    <w:rsid w:val="11401CDB"/>
    <w:rsid w:val="11911382"/>
    <w:rsid w:val="11B441C5"/>
    <w:rsid w:val="11EB5F12"/>
    <w:rsid w:val="12224CAB"/>
    <w:rsid w:val="124E024F"/>
    <w:rsid w:val="12A06977"/>
    <w:rsid w:val="133B406A"/>
    <w:rsid w:val="1457163D"/>
    <w:rsid w:val="146A439A"/>
    <w:rsid w:val="16B76972"/>
    <w:rsid w:val="16E200C0"/>
    <w:rsid w:val="17B23FA3"/>
    <w:rsid w:val="17BB5F23"/>
    <w:rsid w:val="17BE181D"/>
    <w:rsid w:val="17DB07D7"/>
    <w:rsid w:val="17DC2EB4"/>
    <w:rsid w:val="182C461D"/>
    <w:rsid w:val="189F7A56"/>
    <w:rsid w:val="194B5971"/>
    <w:rsid w:val="1A367A00"/>
    <w:rsid w:val="1A771084"/>
    <w:rsid w:val="1B1D26B2"/>
    <w:rsid w:val="1B6050F1"/>
    <w:rsid w:val="1B727490"/>
    <w:rsid w:val="1B9E2247"/>
    <w:rsid w:val="1BF24C7D"/>
    <w:rsid w:val="1E8916C6"/>
    <w:rsid w:val="1EAF7D54"/>
    <w:rsid w:val="1F282554"/>
    <w:rsid w:val="1FBE4C66"/>
    <w:rsid w:val="1FEE6024"/>
    <w:rsid w:val="201835AA"/>
    <w:rsid w:val="20420F98"/>
    <w:rsid w:val="208714A2"/>
    <w:rsid w:val="20E57C3B"/>
    <w:rsid w:val="21567C5D"/>
    <w:rsid w:val="21627873"/>
    <w:rsid w:val="217F64B8"/>
    <w:rsid w:val="2181419D"/>
    <w:rsid w:val="22202D8C"/>
    <w:rsid w:val="22B3482A"/>
    <w:rsid w:val="22BA1E0F"/>
    <w:rsid w:val="22E220F1"/>
    <w:rsid w:val="22F93C86"/>
    <w:rsid w:val="23DA1943"/>
    <w:rsid w:val="23FF75FB"/>
    <w:rsid w:val="24FE791B"/>
    <w:rsid w:val="250A5FDC"/>
    <w:rsid w:val="256239F7"/>
    <w:rsid w:val="277A156A"/>
    <w:rsid w:val="277D3248"/>
    <w:rsid w:val="27AC4550"/>
    <w:rsid w:val="28285193"/>
    <w:rsid w:val="2858642E"/>
    <w:rsid w:val="288F3E1A"/>
    <w:rsid w:val="28EB4A94"/>
    <w:rsid w:val="2936586D"/>
    <w:rsid w:val="296529D5"/>
    <w:rsid w:val="2A21036F"/>
    <w:rsid w:val="2A351600"/>
    <w:rsid w:val="2A6B34F3"/>
    <w:rsid w:val="2B2A7653"/>
    <w:rsid w:val="2BA34A12"/>
    <w:rsid w:val="2C504E98"/>
    <w:rsid w:val="2C7F39CF"/>
    <w:rsid w:val="2CC967C5"/>
    <w:rsid w:val="2D1C61C6"/>
    <w:rsid w:val="2DBD47AF"/>
    <w:rsid w:val="2EBD1F93"/>
    <w:rsid w:val="2EEC76EC"/>
    <w:rsid w:val="2F097580"/>
    <w:rsid w:val="2F2D121D"/>
    <w:rsid w:val="2F662C24"/>
    <w:rsid w:val="2FA31782"/>
    <w:rsid w:val="305A71C9"/>
    <w:rsid w:val="306E6794"/>
    <w:rsid w:val="30CE7CF5"/>
    <w:rsid w:val="31374878"/>
    <w:rsid w:val="314937FB"/>
    <w:rsid w:val="31861B0E"/>
    <w:rsid w:val="3262206A"/>
    <w:rsid w:val="326C3B92"/>
    <w:rsid w:val="32963820"/>
    <w:rsid w:val="32D47F9A"/>
    <w:rsid w:val="32E528C0"/>
    <w:rsid w:val="32EE18DB"/>
    <w:rsid w:val="3327062C"/>
    <w:rsid w:val="333B290A"/>
    <w:rsid w:val="3385463D"/>
    <w:rsid w:val="33854A6F"/>
    <w:rsid w:val="33A5581F"/>
    <w:rsid w:val="35442010"/>
    <w:rsid w:val="35636CD1"/>
    <w:rsid w:val="35831E3A"/>
    <w:rsid w:val="35D95EFE"/>
    <w:rsid w:val="37007A9E"/>
    <w:rsid w:val="377E4FAF"/>
    <w:rsid w:val="37F50CFA"/>
    <w:rsid w:val="389E6394"/>
    <w:rsid w:val="391A6D87"/>
    <w:rsid w:val="396B3751"/>
    <w:rsid w:val="39B21674"/>
    <w:rsid w:val="3A2666EE"/>
    <w:rsid w:val="3A542684"/>
    <w:rsid w:val="3A672A3B"/>
    <w:rsid w:val="3A796F04"/>
    <w:rsid w:val="3A8804BC"/>
    <w:rsid w:val="3A9474A1"/>
    <w:rsid w:val="3A9E14C4"/>
    <w:rsid w:val="3AAD7284"/>
    <w:rsid w:val="3AD44EE6"/>
    <w:rsid w:val="3C17152E"/>
    <w:rsid w:val="3C2923A7"/>
    <w:rsid w:val="3C644102"/>
    <w:rsid w:val="3CAC068B"/>
    <w:rsid w:val="3CAF79B9"/>
    <w:rsid w:val="3CC1446C"/>
    <w:rsid w:val="3CD43D23"/>
    <w:rsid w:val="3D4B2AE6"/>
    <w:rsid w:val="3D8A1B39"/>
    <w:rsid w:val="3D8C7CFA"/>
    <w:rsid w:val="3E012496"/>
    <w:rsid w:val="3E0F0CD7"/>
    <w:rsid w:val="3E135422"/>
    <w:rsid w:val="3EA92283"/>
    <w:rsid w:val="3F1D32FF"/>
    <w:rsid w:val="3F293803"/>
    <w:rsid w:val="3F5331A1"/>
    <w:rsid w:val="3F6A3766"/>
    <w:rsid w:val="3F95244E"/>
    <w:rsid w:val="3FD57736"/>
    <w:rsid w:val="404D404C"/>
    <w:rsid w:val="4091126C"/>
    <w:rsid w:val="40E207B7"/>
    <w:rsid w:val="40E8432E"/>
    <w:rsid w:val="41C5246F"/>
    <w:rsid w:val="421B2250"/>
    <w:rsid w:val="425F24F7"/>
    <w:rsid w:val="42823C4E"/>
    <w:rsid w:val="42D57A4D"/>
    <w:rsid w:val="43CF0940"/>
    <w:rsid w:val="43ED10CC"/>
    <w:rsid w:val="43FE7CFA"/>
    <w:rsid w:val="44321EB7"/>
    <w:rsid w:val="444C1F91"/>
    <w:rsid w:val="44782D86"/>
    <w:rsid w:val="45362736"/>
    <w:rsid w:val="45F83662"/>
    <w:rsid w:val="46041BE3"/>
    <w:rsid w:val="462735FB"/>
    <w:rsid w:val="463748B8"/>
    <w:rsid w:val="464B6860"/>
    <w:rsid w:val="46E7717F"/>
    <w:rsid w:val="480F4476"/>
    <w:rsid w:val="48BA1ACB"/>
    <w:rsid w:val="49242642"/>
    <w:rsid w:val="492E1467"/>
    <w:rsid w:val="49342552"/>
    <w:rsid w:val="49502C9D"/>
    <w:rsid w:val="49681EC0"/>
    <w:rsid w:val="4A3022B9"/>
    <w:rsid w:val="4A470DF5"/>
    <w:rsid w:val="4AD02DBC"/>
    <w:rsid w:val="4B0E349A"/>
    <w:rsid w:val="4B4439C2"/>
    <w:rsid w:val="4BB65568"/>
    <w:rsid w:val="4BCF50B7"/>
    <w:rsid w:val="4C1970A9"/>
    <w:rsid w:val="4C7C02FE"/>
    <w:rsid w:val="4C8F2164"/>
    <w:rsid w:val="4C9E4055"/>
    <w:rsid w:val="4CC70E29"/>
    <w:rsid w:val="4CDA17B3"/>
    <w:rsid w:val="4D3A71AE"/>
    <w:rsid w:val="4D81154F"/>
    <w:rsid w:val="4DB50BA7"/>
    <w:rsid w:val="4DE722B9"/>
    <w:rsid w:val="4E4A238E"/>
    <w:rsid w:val="4E5943B7"/>
    <w:rsid w:val="4E5E4729"/>
    <w:rsid w:val="4F5C6639"/>
    <w:rsid w:val="4FA05F31"/>
    <w:rsid w:val="4FAB3498"/>
    <w:rsid w:val="500330EC"/>
    <w:rsid w:val="501D386E"/>
    <w:rsid w:val="50915F48"/>
    <w:rsid w:val="50AC6191"/>
    <w:rsid w:val="50C47DD0"/>
    <w:rsid w:val="50E2658E"/>
    <w:rsid w:val="50EA500B"/>
    <w:rsid w:val="51D52676"/>
    <w:rsid w:val="51F25F54"/>
    <w:rsid w:val="521D4073"/>
    <w:rsid w:val="522C06EF"/>
    <w:rsid w:val="525A77BB"/>
    <w:rsid w:val="52972F71"/>
    <w:rsid w:val="529B502E"/>
    <w:rsid w:val="533D270D"/>
    <w:rsid w:val="54492CE6"/>
    <w:rsid w:val="551A1EC8"/>
    <w:rsid w:val="552D746E"/>
    <w:rsid w:val="553C395C"/>
    <w:rsid w:val="56292132"/>
    <w:rsid w:val="564C5F69"/>
    <w:rsid w:val="569B00EE"/>
    <w:rsid w:val="56D44DED"/>
    <w:rsid w:val="56D562CF"/>
    <w:rsid w:val="56E83D9B"/>
    <w:rsid w:val="574511ED"/>
    <w:rsid w:val="58237B89"/>
    <w:rsid w:val="58305A91"/>
    <w:rsid w:val="585D70BF"/>
    <w:rsid w:val="59035A99"/>
    <w:rsid w:val="593054FB"/>
    <w:rsid w:val="5971064D"/>
    <w:rsid w:val="5A265474"/>
    <w:rsid w:val="5A2A2DF3"/>
    <w:rsid w:val="5B174492"/>
    <w:rsid w:val="5B953367"/>
    <w:rsid w:val="5C050F4B"/>
    <w:rsid w:val="5C4337BB"/>
    <w:rsid w:val="5D28108C"/>
    <w:rsid w:val="5D3E547C"/>
    <w:rsid w:val="5D5E4DB7"/>
    <w:rsid w:val="5D7E7D28"/>
    <w:rsid w:val="5E2B7481"/>
    <w:rsid w:val="5EA85B32"/>
    <w:rsid w:val="5EAA36C3"/>
    <w:rsid w:val="5EAA7B88"/>
    <w:rsid w:val="5EB862DC"/>
    <w:rsid w:val="5EEA2697"/>
    <w:rsid w:val="5F1065ED"/>
    <w:rsid w:val="5F3A538F"/>
    <w:rsid w:val="601D3857"/>
    <w:rsid w:val="603E2C7E"/>
    <w:rsid w:val="604D14F0"/>
    <w:rsid w:val="60B821C4"/>
    <w:rsid w:val="60FE08AF"/>
    <w:rsid w:val="61106C5F"/>
    <w:rsid w:val="61254D43"/>
    <w:rsid w:val="612956DC"/>
    <w:rsid w:val="61C20E62"/>
    <w:rsid w:val="62A32CCC"/>
    <w:rsid w:val="62B70108"/>
    <w:rsid w:val="63CB314A"/>
    <w:rsid w:val="646A497D"/>
    <w:rsid w:val="65963322"/>
    <w:rsid w:val="65FA1EB8"/>
    <w:rsid w:val="66443C77"/>
    <w:rsid w:val="66576AAB"/>
    <w:rsid w:val="66D93700"/>
    <w:rsid w:val="679434E7"/>
    <w:rsid w:val="67AA57BD"/>
    <w:rsid w:val="681E586F"/>
    <w:rsid w:val="685735B2"/>
    <w:rsid w:val="69362744"/>
    <w:rsid w:val="6936456B"/>
    <w:rsid w:val="69E708E1"/>
    <w:rsid w:val="6A144B67"/>
    <w:rsid w:val="6A445335"/>
    <w:rsid w:val="6A9E4FC4"/>
    <w:rsid w:val="6AEB1816"/>
    <w:rsid w:val="6B1673E4"/>
    <w:rsid w:val="6BF12A83"/>
    <w:rsid w:val="6C5755A2"/>
    <w:rsid w:val="6CD15CA3"/>
    <w:rsid w:val="6CD87C24"/>
    <w:rsid w:val="6CEE78CC"/>
    <w:rsid w:val="6D7631C8"/>
    <w:rsid w:val="6DA81E2E"/>
    <w:rsid w:val="6DC55E69"/>
    <w:rsid w:val="6DC85CA0"/>
    <w:rsid w:val="6DEE71E8"/>
    <w:rsid w:val="6E361438"/>
    <w:rsid w:val="6E7E4132"/>
    <w:rsid w:val="6EF92E2B"/>
    <w:rsid w:val="6F23180F"/>
    <w:rsid w:val="6F745FA9"/>
    <w:rsid w:val="6FB734D8"/>
    <w:rsid w:val="6FB81FE1"/>
    <w:rsid w:val="6FE32EFA"/>
    <w:rsid w:val="707F4741"/>
    <w:rsid w:val="71783274"/>
    <w:rsid w:val="71C32D33"/>
    <w:rsid w:val="72B839D1"/>
    <w:rsid w:val="7305587C"/>
    <w:rsid w:val="73550AF9"/>
    <w:rsid w:val="736503F9"/>
    <w:rsid w:val="737427E7"/>
    <w:rsid w:val="73B40A19"/>
    <w:rsid w:val="73CA7532"/>
    <w:rsid w:val="73F27BAF"/>
    <w:rsid w:val="74D3184E"/>
    <w:rsid w:val="74D45832"/>
    <w:rsid w:val="74DF66EF"/>
    <w:rsid w:val="7751222D"/>
    <w:rsid w:val="77B342CA"/>
    <w:rsid w:val="77DC1390"/>
    <w:rsid w:val="786129B8"/>
    <w:rsid w:val="78961719"/>
    <w:rsid w:val="79BC3093"/>
    <w:rsid w:val="7A440A39"/>
    <w:rsid w:val="7A95520D"/>
    <w:rsid w:val="7A97083D"/>
    <w:rsid w:val="7AE937B7"/>
    <w:rsid w:val="7B31548C"/>
    <w:rsid w:val="7C46731F"/>
    <w:rsid w:val="7C5331B5"/>
    <w:rsid w:val="7C833431"/>
    <w:rsid w:val="7C8861BD"/>
    <w:rsid w:val="7CC04CEF"/>
    <w:rsid w:val="7CFC4016"/>
    <w:rsid w:val="7D22389C"/>
    <w:rsid w:val="7D6F3144"/>
    <w:rsid w:val="7E2949E5"/>
    <w:rsid w:val="7E4B37B3"/>
    <w:rsid w:val="7EC62E85"/>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3529</Words>
  <Characters>4080</Characters>
  <Lines>0</Lines>
  <Paragraphs>0</Paragraphs>
  <TotalTime>0</TotalTime>
  <ScaleCrop>false</ScaleCrop>
  <LinksUpToDate>false</LinksUpToDate>
  <CharactersWithSpaces>4086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boicevecn</cp:lastModifiedBy>
  <dcterms:modified xsi:type="dcterms:W3CDTF">2025-10-30T01:26:12Z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399DA3C4D6B74F88999F04B2A361E666_13</vt:lpwstr>
  </property>
  <property fmtid="{D5CDD505-2E9C-101B-9397-08002B2CF9AE}" pid="4" name="KSOTemplateDocerSaveRecord">
    <vt:lpwstr>eyJoZGlkIjoiMjBjYzFhM2NmZGIzYzlkOTk0ZTg3MGI3ZTExMWZiYWYifQ==</vt:lpwstr>
  </property>
</Properties>
</file>