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pacing w:line="594" w:lineRule="exact"/>
        <w:jc w:val="center"/>
        <w:textAlignment w:val="auto"/>
        <w:rPr>
          <w:rFonts w:hint="eastAsia" w:ascii="方正小标宋_GBK" w:hAnsi="Times New Roman" w:eastAsia="方正小标宋_GBK" w:cs="Times New Roman"/>
          <w:sz w:val="44"/>
          <w:szCs w:val="44"/>
          <w:lang w:eastAsia="zh-CN"/>
        </w:rPr>
      </w:pPr>
      <w:r>
        <w:rPr>
          <w:rFonts w:hint="eastAsia" w:ascii="方正小标宋_GBK" w:hAnsi="Times New Roman" w:eastAsia="方正小标宋_GBK" w:cs="Times New Roman"/>
          <w:sz w:val="44"/>
          <w:szCs w:val="44"/>
        </w:rPr>
        <w:t>重庆市铜梁区太平镇</w:t>
      </w:r>
      <w:r>
        <w:rPr>
          <w:rFonts w:hint="eastAsia" w:ascii="方正小标宋_GBK" w:hAnsi="Times New Roman" w:eastAsia="方正小标宋_GBK" w:cs="Times New Roman"/>
          <w:sz w:val="44"/>
          <w:szCs w:val="44"/>
          <w:lang w:eastAsia="zh-CN"/>
        </w:rPr>
        <w:t>劳动就业和社会保障</w:t>
      </w:r>
    </w:p>
    <w:p>
      <w:pPr>
        <w:keepNext w:val="0"/>
        <w:keepLines w:val="0"/>
        <w:pageBreakBefore w:val="0"/>
        <w:kinsoku/>
        <w:wordWrap/>
        <w:overflowPunct/>
        <w:topLinePunct w:val="0"/>
        <w:autoSpaceDN/>
        <w:bidi w:val="0"/>
        <w:adjustRightInd/>
        <w:spacing w:line="594" w:lineRule="exact"/>
        <w:jc w:val="center"/>
        <w:textAlignment w:val="auto"/>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服务所202</w:t>
      </w:r>
      <w:r>
        <w:rPr>
          <w:rFonts w:hint="eastAsia" w:ascii="方正小标宋_GBK" w:hAnsi="Times New Roman" w:eastAsia="方正小标宋_GBK" w:cs="Times New Roman"/>
          <w:sz w:val="44"/>
          <w:szCs w:val="44"/>
          <w:lang w:val="en-US" w:eastAsia="zh-CN"/>
        </w:rPr>
        <w:t>4</w:t>
      </w:r>
      <w:r>
        <w:rPr>
          <w:rFonts w:hint="eastAsia" w:ascii="方正小标宋_GBK" w:hAnsi="Times New Roman" w:eastAsia="方正小标宋_GBK" w:cs="Times New Roman"/>
          <w:sz w:val="44"/>
          <w:szCs w:val="44"/>
        </w:rPr>
        <w:t>年度决算公开说明</w:t>
      </w:r>
    </w:p>
    <w:p>
      <w:pPr>
        <w:keepNext w:val="0"/>
        <w:keepLines w:val="0"/>
        <w:pageBreakBefore w:val="0"/>
        <w:kinsoku/>
        <w:wordWrap/>
        <w:overflowPunct/>
        <w:topLinePunct w:val="0"/>
        <w:autoSpaceDN/>
        <w:bidi w:val="0"/>
        <w:adjustRightInd/>
        <w:spacing w:line="594" w:lineRule="exact"/>
        <w:ind w:firstLine="880" w:firstLineChars="200"/>
        <w:jc w:val="center"/>
        <w:textAlignment w:val="auto"/>
        <w:rPr>
          <w:rFonts w:hint="default" w:ascii="方正小标宋_GBK" w:hAnsi="Times New Roman" w:eastAsia="方正小标宋_GBK" w:cs="Times New Roman"/>
          <w:sz w:val="44"/>
          <w:szCs w:val="44"/>
        </w:rPr>
      </w:pPr>
    </w:p>
    <w:p>
      <w:pPr>
        <w:pStyle w:val="14"/>
        <w:keepNext w:val="0"/>
        <w:keepLines w:val="0"/>
        <w:pageBreakBefore w:val="0"/>
        <w:tabs>
          <w:tab w:val="center" w:pos="4153"/>
          <w:tab w:val="left" w:pos="7275"/>
        </w:tabs>
        <w:kinsoku/>
        <w:wordWrap/>
        <w:overflowPunct/>
        <w:topLinePunct w:val="0"/>
        <w:autoSpaceDN/>
        <w:bidi w:val="0"/>
        <w:adjustRightInd/>
        <w:spacing w:beforeAutospacing="0" w:afterAutospacing="0" w:line="594" w:lineRule="exact"/>
        <w:ind w:left="0" w:leftChars="0" w:firstLine="640" w:firstLineChars="200"/>
        <w:textAlignment w:val="auto"/>
        <w:rPr>
          <w:rFonts w:hint="default" w:ascii="方正黑体_GBK" w:hAnsi="Times New Roman" w:eastAsia="方正黑体_GBK" w:cs="Times New Roman"/>
          <w:sz w:val="32"/>
          <w:szCs w:val="32"/>
        </w:rPr>
      </w:pPr>
      <w:r>
        <w:rPr>
          <w:rFonts w:hint="eastAsia" w:ascii="方正黑体_GBK" w:hAnsi="Times New Roman" w:eastAsia="方正黑体_GBK" w:cs="Times New Roman"/>
          <w:sz w:val="32"/>
          <w:szCs w:val="32"/>
        </w:rPr>
        <w:t>一、</w:t>
      </w:r>
      <w:r>
        <w:rPr>
          <w:rFonts w:hint="eastAsia" w:ascii="方正黑体_GBK" w:hAnsi="Times New Roman" w:eastAsia="方正黑体_GBK" w:cs="Times New Roman"/>
          <w:sz w:val="32"/>
          <w:szCs w:val="32"/>
          <w:lang w:eastAsia="zh-CN"/>
        </w:rPr>
        <w:t>单位</w:t>
      </w:r>
      <w:r>
        <w:rPr>
          <w:rFonts w:hint="eastAsia" w:ascii="方正黑体_GBK" w:hAnsi="Times New Roman" w:eastAsia="方正黑体_GBK" w:cs="Times New Roman"/>
          <w:sz w:val="32"/>
          <w:szCs w:val="32"/>
        </w:rPr>
        <w:t>基本情况</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（一）职能职责</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完成就业、再就业促进工作，社会保障和劳动维权等服务性工作，完成老龄、残疾人事业、医疗保障等服务性工作，完成主管部门交办的其他任务。</w:t>
      </w:r>
    </w:p>
    <w:p>
      <w:pPr>
        <w:pStyle w:val="4"/>
        <w:keepNext w:val="0"/>
        <w:keepLines w:val="0"/>
        <w:pageBreakBefore w:val="0"/>
        <w:widowControl/>
        <w:kinsoku/>
        <w:wordWrap/>
        <w:overflowPunct/>
        <w:topLinePunct w:val="0"/>
        <w:autoSpaceDN/>
        <w:bidi w:val="0"/>
        <w:adjustRightInd/>
        <w:spacing w:before="0" w:beforeAutospacing="0" w:after="0" w:afterAutospacing="0" w:line="594" w:lineRule="exact"/>
        <w:ind w:firstLine="640" w:firstLineChars="200"/>
        <w:jc w:val="left"/>
        <w:textAlignment w:val="auto"/>
        <w:rPr>
          <w:rFonts w:hint="default" w:ascii="方正楷体_GBK" w:hAnsi="Calibri" w:eastAsia="方正楷体_GBK" w:cs="Times New Roman"/>
          <w:kern w:val="2"/>
          <w:sz w:val="32"/>
          <w:szCs w:val="32"/>
        </w:rPr>
      </w:pPr>
      <w:r>
        <w:rPr>
          <w:rFonts w:hint="eastAsia" w:ascii="方正楷体_GBK" w:hAnsi="Calibri" w:eastAsia="方正楷体_GBK" w:cs="Times New Roman"/>
          <w:kern w:val="2"/>
          <w:sz w:val="32"/>
          <w:szCs w:val="32"/>
        </w:rPr>
        <w:t>（二）机构设置</w:t>
      </w:r>
    </w:p>
    <w:p>
      <w:pPr>
        <w:keepNext w:val="0"/>
        <w:keepLines w:val="0"/>
        <w:pageBreakBefore w:val="0"/>
        <w:kinsoku/>
        <w:wordWrap/>
        <w:overflowPunct/>
        <w:topLinePunct w:val="0"/>
        <w:autoSpaceDN/>
        <w:bidi w:val="0"/>
        <w:adjustRightInd/>
        <w:snapToGrid w:val="0"/>
        <w:spacing w:beforeAutospacing="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仿宋_GBK" w:eastAsia="方正仿宋_GBK"/>
          <w:sz w:val="32"/>
          <w:szCs w:val="32"/>
        </w:rPr>
        <w:t>重庆市铜梁区太平镇</w:t>
      </w:r>
      <w:r>
        <w:rPr>
          <w:rFonts w:hint="eastAsia" w:ascii="方正仿宋_GBK" w:eastAsia="方正仿宋_GBK"/>
          <w:sz w:val="32"/>
          <w:szCs w:val="32"/>
          <w:lang w:eastAsia="zh-CN"/>
        </w:rPr>
        <w:t>劳动就业和社会保障服务所为重庆市铜梁区太平镇人民政府下设</w:t>
      </w:r>
      <w:r>
        <w:rPr>
          <w:rFonts w:hint="eastAsia" w:ascii="方正仿宋_GBK" w:eastAsia="方正仿宋_GBK"/>
          <w:sz w:val="32"/>
          <w:szCs w:val="32"/>
        </w:rPr>
        <w:t>事业单位。</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hint="eastAsia" w:ascii="方正黑体_GBK" w:hAnsi="Times New Roman" w:eastAsia="方正黑体_GBK" w:cs="Times New Roman"/>
          <w:kern w:val="2"/>
          <w:sz w:val="32"/>
          <w:szCs w:val="32"/>
          <w:lang w:val="en-US" w:eastAsia="zh-CN" w:bidi="ar-SA"/>
        </w:rPr>
        <w:t>二、单位决算收支情况说明</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ascii="楷体" w:hAnsi="楷体" w:eastAsia="楷体" w:cs="楷体"/>
          <w:b/>
          <w:bCs/>
          <w:sz w:val="32"/>
          <w:szCs w:val="32"/>
          <w:shd w:val="clear" w:color="auto" w:fill="FFFFFF"/>
        </w:rPr>
      </w:pPr>
      <w:r>
        <w:rPr>
          <w:rFonts w:hint="eastAsia" w:ascii="方正楷体_GBK" w:hAnsi="Calibri" w:eastAsia="方正楷体_GBK" w:cs="Times New Roman"/>
          <w:kern w:val="2"/>
          <w:sz w:val="32"/>
          <w:szCs w:val="32"/>
          <w:lang w:val="en-US" w:eastAsia="zh-CN" w:bidi="ar-SA"/>
        </w:rPr>
        <w:t>（一）收入支出决算总体情况说明。</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1.总体情况。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年度收入总计</w:t>
      </w:r>
      <w:r>
        <w:rPr>
          <w:rFonts w:ascii="方正仿宋_GBK" w:hAnsi="方正仿宋_GBK" w:eastAsia="方正仿宋_GBK" w:cs="方正仿宋_GBK"/>
          <w:sz w:val="32"/>
          <w:szCs w:val="32"/>
          <w:shd w:val="clear" w:color="auto" w:fill="FFFFFF"/>
        </w:rPr>
        <w:t>86.04</w:t>
      </w:r>
      <w:r>
        <w:rPr>
          <w:rFonts w:hint="eastAsia" w:ascii="方正仿宋_GBK" w:eastAsia="方正仿宋_GBK" w:hAnsiTheme="minorHAnsi" w:cstheme="minorBidi"/>
          <w:kern w:val="2"/>
          <w:sz w:val="32"/>
          <w:szCs w:val="32"/>
          <w:lang w:val="en-US" w:eastAsia="zh-CN" w:bidi="ar-SA"/>
        </w:rPr>
        <w:t>万元，支出总计</w:t>
      </w:r>
      <w:r>
        <w:rPr>
          <w:rFonts w:ascii="方正仿宋_GBK" w:hAnsi="方正仿宋_GBK" w:eastAsia="方正仿宋_GBK" w:cs="方正仿宋_GBK"/>
          <w:sz w:val="32"/>
          <w:szCs w:val="32"/>
          <w:shd w:val="clear" w:color="auto" w:fill="FFFFFF"/>
        </w:rPr>
        <w:t>86.04</w:t>
      </w:r>
      <w:r>
        <w:rPr>
          <w:rFonts w:hint="eastAsia" w:ascii="方正仿宋_GBK" w:eastAsia="方正仿宋_GBK" w:hAnsiTheme="minorHAnsi" w:cstheme="minorBidi"/>
          <w:kern w:val="2"/>
          <w:sz w:val="32"/>
          <w:szCs w:val="32"/>
          <w:lang w:val="en-US" w:eastAsia="zh-CN" w:bidi="ar-SA"/>
        </w:rPr>
        <w:t>万元。收支较上年决算数</w:t>
      </w:r>
      <w:r>
        <w:rPr>
          <w:rFonts w:ascii="方正仿宋_GBK" w:hAnsi="方正仿宋_GBK" w:eastAsia="方正仿宋_GBK" w:cs="方正仿宋_GBK"/>
          <w:sz w:val="32"/>
          <w:szCs w:val="32"/>
          <w:shd w:val="clear" w:color="auto" w:fill="FFFFFF"/>
        </w:rPr>
        <w:t>增加86.04</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hAnsi="方正仿宋_GBK" w:eastAsia="方正仿宋_GBK" w:cs="方正仿宋_GBK"/>
          <w:sz w:val="32"/>
          <w:szCs w:val="32"/>
          <w:shd w:val="clear" w:color="auto" w:fill="FFFFFF"/>
          <w:lang w:eastAsia="zh-CN"/>
        </w:rPr>
        <w:t>，</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劳动就业和社会保障服务所</w:t>
      </w:r>
      <w:r>
        <w:rPr>
          <w:rFonts w:hint="eastAsia" w:ascii="方正仿宋_GBK" w:eastAsia="方正仿宋_GBK" w:hAnsiTheme="minorHAnsi" w:cstheme="minorBidi"/>
          <w:kern w:val="2"/>
          <w:sz w:val="32"/>
          <w:szCs w:val="32"/>
          <w:lang w:val="en-US" w:eastAsia="zh-CN" w:bidi="ar-SA"/>
        </w:rPr>
        <w:t>等七个账套单独核算，上年度未单独核算，收入为0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p>
    <w:p>
      <w:pPr>
        <w:pStyle w:val="4"/>
        <w:keepNext w:val="0"/>
        <w:keepLines w:val="0"/>
        <w:pageBreakBefore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2.收入情况。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年度收入合计</w:t>
      </w:r>
      <w:r>
        <w:rPr>
          <w:rFonts w:ascii="方正仿宋_GBK" w:hAnsi="方正仿宋_GBK" w:eastAsia="方正仿宋_GBK" w:cs="方正仿宋_GBK"/>
          <w:sz w:val="32"/>
          <w:szCs w:val="32"/>
          <w:shd w:val="clear" w:color="auto" w:fill="FFFFFF"/>
        </w:rPr>
        <w:t>86.04</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增加86.04</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w:t>
      </w:r>
      <w:r>
        <w:rPr>
          <w:rFonts w:hint="eastAsia" w:ascii="方正仿宋_GBK" w:eastAsia="方正仿宋_GBK" w:cstheme="minorBidi"/>
          <w:kern w:val="2"/>
          <w:sz w:val="32"/>
          <w:szCs w:val="32"/>
          <w:lang w:val="en-US" w:eastAsia="zh-CN" w:bidi="ar-SA"/>
        </w:rPr>
        <w:t>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劳动就业和社会保障服务所</w:t>
      </w:r>
      <w:r>
        <w:rPr>
          <w:rFonts w:hint="eastAsia" w:ascii="方正仿宋_GBK" w:eastAsia="方正仿宋_GBK" w:hAnsiTheme="minorHAnsi" w:cstheme="minorBidi"/>
          <w:kern w:val="2"/>
          <w:sz w:val="32"/>
          <w:szCs w:val="32"/>
          <w:lang w:val="en-US" w:eastAsia="zh-CN" w:bidi="ar-SA"/>
        </w:rPr>
        <w:t>等七个账套单独核算，上年度未单独核算，收入为0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其中：财政拨款收入</w:t>
      </w:r>
      <w:r>
        <w:rPr>
          <w:rFonts w:ascii="方正仿宋_GBK" w:hAnsi="方正仿宋_GBK" w:eastAsia="方正仿宋_GBK" w:cs="方正仿宋_GBK"/>
          <w:sz w:val="32"/>
          <w:szCs w:val="32"/>
        </w:rPr>
        <w:t>86.04</w:t>
      </w:r>
      <w:r>
        <w:rPr>
          <w:rFonts w:hint="eastAsia" w:ascii="方正仿宋_GBK" w:eastAsia="方正仿宋_GBK" w:hAnsiTheme="minorHAnsi" w:cstheme="minorBidi"/>
          <w:kern w:val="2"/>
          <w:sz w:val="32"/>
          <w:szCs w:val="32"/>
          <w:lang w:val="en-US" w:eastAsia="zh-CN" w:bidi="ar-SA"/>
        </w:rPr>
        <w:t>万元，占100.0%；事业收入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万元，占0.0%；经营收入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万元，占0.0%；其他收入</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万元，占0.0%。此外，使用非财政拨款结余和专用结余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万元，年初结转和结余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3.支出情况。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年度支出合计</w:t>
      </w:r>
      <w:r>
        <w:rPr>
          <w:rFonts w:ascii="方正仿宋_GBK" w:hAnsi="方正仿宋_GBK" w:eastAsia="方正仿宋_GBK" w:cs="方正仿宋_GBK"/>
          <w:sz w:val="32"/>
          <w:szCs w:val="32"/>
        </w:rPr>
        <w:t>86.04</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w:t>
      </w:r>
      <w:r>
        <w:rPr>
          <w:rFonts w:ascii="方正仿宋_GBK" w:hAnsi="方正仿宋_GBK" w:eastAsia="方正仿宋_GBK" w:cs="方正仿宋_GBK"/>
          <w:sz w:val="32"/>
          <w:szCs w:val="32"/>
        </w:rPr>
        <w:t>86.04</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w:t>
      </w:r>
      <w:r>
        <w:rPr>
          <w:rFonts w:hint="eastAsia" w:ascii="方正仿宋_GBK" w:eastAsia="方正仿宋_GBK" w:cstheme="minorBidi"/>
          <w:kern w:val="2"/>
          <w:sz w:val="32"/>
          <w:szCs w:val="32"/>
          <w:lang w:val="en-US" w:eastAsia="zh-CN" w:bidi="ar-SA"/>
        </w:rPr>
        <w:t>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劳动就业和社会保障服务所</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其中：基本支出</w:t>
      </w:r>
      <w:r>
        <w:rPr>
          <w:rFonts w:ascii="方正仿宋_GBK" w:hAnsi="方正仿宋_GBK" w:eastAsia="方正仿宋_GBK" w:cs="方正仿宋_GBK"/>
          <w:sz w:val="32"/>
          <w:szCs w:val="32"/>
        </w:rPr>
        <w:t>85.97</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shd w:val="clear" w:color="auto" w:fill="FFFFFF"/>
        </w:rPr>
        <w:t>99.92%</w:t>
      </w:r>
      <w:r>
        <w:rPr>
          <w:rFonts w:hint="eastAsia" w:ascii="方正仿宋_GBK" w:eastAsia="方正仿宋_GBK" w:hAnsiTheme="minorHAnsi" w:cstheme="minorBidi"/>
          <w:kern w:val="2"/>
          <w:sz w:val="32"/>
          <w:szCs w:val="32"/>
          <w:lang w:val="en-US" w:eastAsia="zh-CN" w:bidi="ar-SA"/>
        </w:rPr>
        <w:t>；项目支出</w:t>
      </w:r>
      <w:r>
        <w:rPr>
          <w:rFonts w:ascii="方正仿宋_GBK" w:hAnsi="方正仿宋_GBK" w:eastAsia="方正仿宋_GBK" w:cs="方正仿宋_GBK"/>
          <w:sz w:val="32"/>
          <w:szCs w:val="32"/>
        </w:rPr>
        <w:t>0.07</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shd w:val="clear" w:color="auto" w:fill="FFFFFF"/>
        </w:rPr>
        <w:t>0.08%</w:t>
      </w:r>
      <w:r>
        <w:rPr>
          <w:rFonts w:hint="eastAsia" w:ascii="方正仿宋_GBK" w:eastAsia="方正仿宋_GBK" w:hAnsiTheme="minorHAnsi" w:cstheme="minorBidi"/>
          <w:kern w:val="2"/>
          <w:sz w:val="32"/>
          <w:szCs w:val="32"/>
          <w:lang w:val="en-US" w:eastAsia="zh-CN" w:bidi="ar-SA"/>
        </w:rPr>
        <w:t>；经营支出</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万元，占0.0%。此外，结余分配</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4.结转结余情况。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年度年末结转和结余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（二）财政拨款收入支出决算总体情况说明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年度财政拨款收、支总计</w:t>
      </w:r>
      <w:r>
        <w:rPr>
          <w:rFonts w:ascii="方正仿宋_GBK" w:hAnsi="方正仿宋_GBK" w:eastAsia="方正仿宋_GBK" w:cs="方正仿宋_GBK"/>
          <w:sz w:val="32"/>
          <w:szCs w:val="32"/>
          <w:shd w:val="clear" w:color="auto" w:fill="FFFFFF"/>
        </w:rPr>
        <w:t>86.04</w:t>
      </w:r>
      <w:r>
        <w:rPr>
          <w:rFonts w:hint="eastAsia" w:ascii="方正仿宋_GBK" w:eastAsia="方正仿宋_GBK" w:hAnsiTheme="minorHAnsi" w:cstheme="minorBidi"/>
          <w:kern w:val="2"/>
          <w:sz w:val="32"/>
          <w:szCs w:val="32"/>
          <w:lang w:val="en-US" w:eastAsia="zh-CN" w:bidi="ar-SA"/>
        </w:rPr>
        <w:t>万元。与</w:t>
      </w:r>
      <w:r>
        <w:rPr>
          <w:rFonts w:hint="eastAsia" w:ascii="方正仿宋_GBK" w:eastAsia="方正仿宋_GBK" w:cstheme="minorBidi"/>
          <w:kern w:val="2"/>
          <w:sz w:val="32"/>
          <w:szCs w:val="32"/>
          <w:lang w:val="en-US" w:eastAsia="zh-CN" w:bidi="ar-SA"/>
        </w:rPr>
        <w:t>2023</w:t>
      </w:r>
      <w:r>
        <w:rPr>
          <w:rFonts w:hint="eastAsia" w:ascii="方正仿宋_GBK" w:eastAsia="方正仿宋_GBK" w:hAnsiTheme="minorHAnsi" w:cstheme="minorBidi"/>
          <w:kern w:val="2"/>
          <w:sz w:val="32"/>
          <w:szCs w:val="32"/>
          <w:lang w:val="en-US" w:eastAsia="zh-CN" w:bidi="ar-SA"/>
        </w:rPr>
        <w:t>年相比，财政拨款收、支总计各</w:t>
      </w:r>
      <w:r>
        <w:rPr>
          <w:rFonts w:ascii="方正仿宋_GBK" w:hAnsi="方正仿宋_GBK" w:eastAsia="方正仿宋_GBK" w:cs="方正仿宋_GBK"/>
          <w:sz w:val="32"/>
          <w:szCs w:val="32"/>
          <w:shd w:val="clear" w:color="auto" w:fill="FFFFFF"/>
        </w:rPr>
        <w:t>增加86.04</w:t>
      </w:r>
      <w:r>
        <w:rPr>
          <w:rFonts w:hint="eastAsia" w:ascii="方正仿宋_GBK" w:hAnsi="方正仿宋_GBK" w:eastAsia="方正仿宋_GBK" w:cs="方正仿宋_GBK"/>
          <w:sz w:val="32"/>
          <w:szCs w:val="32"/>
          <w:shd w:val="clear" w:color="auto" w:fill="FFFFFF"/>
          <w:lang w:eastAsia="zh-CN"/>
        </w:rPr>
        <w:t>万</w:t>
      </w:r>
      <w:r>
        <w:rPr>
          <w:rFonts w:hint="eastAsia" w:ascii="方正仿宋_GBK" w:eastAsia="方正仿宋_GBK" w:hAnsiTheme="minorHAnsi" w:cstheme="minorBidi"/>
          <w:kern w:val="2"/>
          <w:sz w:val="32"/>
          <w:szCs w:val="32"/>
          <w:lang w:val="en-US" w:eastAsia="zh-CN" w:bidi="ar-SA"/>
        </w:rPr>
        <w:t>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劳动就业和社会保障服务所</w:t>
      </w:r>
      <w:r>
        <w:rPr>
          <w:rFonts w:hint="eastAsia" w:ascii="方正仿宋_GBK" w:eastAsia="方正仿宋_GBK" w:hAnsiTheme="minorHAnsi" w:cstheme="minorBidi"/>
          <w:kern w:val="2"/>
          <w:sz w:val="32"/>
          <w:szCs w:val="32"/>
          <w:lang w:val="en-US" w:eastAsia="zh-CN" w:bidi="ar-SA"/>
        </w:rPr>
        <w:t>等七个账套单独核算，上年度未单独核算，收</w:t>
      </w:r>
      <w:r>
        <w:rPr>
          <w:rFonts w:hint="eastAsia" w:ascii="方正仿宋_GBK" w:eastAsia="方正仿宋_GBK" w:cstheme="minorBidi"/>
          <w:kern w:val="2"/>
          <w:sz w:val="32"/>
          <w:szCs w:val="32"/>
          <w:lang w:val="en-US" w:eastAsia="zh-CN" w:bidi="ar-SA"/>
        </w:rPr>
        <w:t>支</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（三）一般公共预算财政拨款收入支出决算情况说明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1.收入情况。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年度一般公共预算财政拨款收入</w:t>
      </w:r>
      <w:r>
        <w:rPr>
          <w:rFonts w:ascii="方正仿宋_GBK" w:hAnsi="方正仿宋_GBK" w:eastAsia="方正仿宋_GBK" w:cs="方正仿宋_GBK"/>
          <w:sz w:val="32"/>
          <w:szCs w:val="32"/>
          <w:shd w:val="clear" w:color="auto" w:fill="FFFFFF"/>
        </w:rPr>
        <w:t>86.04</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增加86.04</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。主要原因是2024年依据财政局要求，本单位将事业单位划分为重庆市铜梁区太平镇</w:t>
      </w:r>
      <w:r>
        <w:rPr>
          <w:rFonts w:hint="eastAsia" w:ascii="方正仿宋_GBK" w:eastAsia="方正仿宋_GBK" w:cstheme="minorBidi"/>
          <w:kern w:val="2"/>
          <w:sz w:val="32"/>
          <w:szCs w:val="32"/>
          <w:lang w:val="en-US" w:eastAsia="zh-CN" w:bidi="ar-SA"/>
        </w:rPr>
        <w:t>劳动就业和社会保障服务所</w:t>
      </w:r>
      <w:r>
        <w:rPr>
          <w:rFonts w:hint="eastAsia" w:ascii="方正仿宋_GBK" w:eastAsia="方正仿宋_GBK" w:hAnsiTheme="minorHAnsi" w:cstheme="minorBidi"/>
          <w:kern w:val="2"/>
          <w:sz w:val="32"/>
          <w:szCs w:val="32"/>
          <w:lang w:val="en-US" w:eastAsia="zh-CN" w:bidi="ar-SA"/>
        </w:rPr>
        <w:t>等七个账套单独核算，上年度未单独核算，收</w:t>
      </w:r>
      <w:r>
        <w:rPr>
          <w:rFonts w:hint="eastAsia" w:ascii="方正仿宋_GBK" w:eastAsia="方正仿宋_GBK" w:cstheme="minorBidi"/>
          <w:kern w:val="2"/>
          <w:sz w:val="32"/>
          <w:szCs w:val="32"/>
          <w:lang w:val="en-US" w:eastAsia="zh-CN" w:bidi="ar-SA"/>
        </w:rPr>
        <w:t>入</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较年初预算数减少16.61万元，下降16.2%</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主要原因是</w:t>
      </w:r>
      <w:r>
        <w:rPr>
          <w:rFonts w:hint="eastAsia" w:ascii="方正仿宋_GBK" w:eastAsia="方正仿宋_GBK" w:hAnsiTheme="minorHAnsi" w:cstheme="minorBidi"/>
          <w:kern w:val="2"/>
          <w:sz w:val="32"/>
          <w:szCs w:val="32"/>
          <w:lang w:val="en-US" w:eastAsia="zh-CN" w:bidi="ar-SA"/>
        </w:rPr>
        <w:t>社</w:t>
      </w:r>
      <w:r>
        <w:rPr>
          <w:rFonts w:hint="eastAsia" w:ascii="方正仿宋_GBK" w:eastAsia="方正仿宋_GBK" w:cstheme="minorBidi"/>
          <w:kern w:val="2"/>
          <w:sz w:val="32"/>
          <w:szCs w:val="32"/>
          <w:lang w:val="en-US" w:eastAsia="zh-CN" w:bidi="ar-SA"/>
        </w:rPr>
        <w:t>会保障和就业、卫生健康方面财政拨款收入比预算数减少</w:t>
      </w:r>
      <w:r>
        <w:rPr>
          <w:rFonts w:hint="eastAsia" w:ascii="方正仿宋_GBK" w:eastAsia="方正仿宋_GBK" w:hAnsiTheme="minorHAnsi" w:cstheme="minorBidi"/>
          <w:kern w:val="2"/>
          <w:sz w:val="32"/>
          <w:szCs w:val="32"/>
          <w:lang w:val="en-US" w:eastAsia="zh-CN" w:bidi="ar-SA"/>
        </w:rPr>
        <w:t>；此外，年初财政拨款结转和结余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2.支出情况。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年度一般公共预算财政拨款支出</w:t>
      </w:r>
      <w:r>
        <w:rPr>
          <w:rFonts w:ascii="方正仿宋_GBK" w:hAnsi="方正仿宋_GBK" w:eastAsia="方正仿宋_GBK" w:cs="方正仿宋_GBK"/>
          <w:sz w:val="32"/>
          <w:szCs w:val="32"/>
          <w:shd w:val="clear" w:color="auto" w:fill="FFFFFF"/>
        </w:rPr>
        <w:t>86.04</w:t>
      </w:r>
      <w:r>
        <w:rPr>
          <w:rFonts w:hint="eastAsia" w:ascii="方正仿宋_GBK" w:eastAsia="方正仿宋_GBK" w:hAnsiTheme="minorHAnsi" w:cstheme="minorBidi"/>
          <w:kern w:val="2"/>
          <w:sz w:val="32"/>
          <w:szCs w:val="32"/>
          <w:lang w:val="en-US" w:eastAsia="zh-CN" w:bidi="ar-SA"/>
        </w:rPr>
        <w:t>万元，较上年决算数</w:t>
      </w:r>
      <w:r>
        <w:rPr>
          <w:rFonts w:ascii="方正仿宋_GBK" w:hAnsi="方正仿宋_GBK" w:eastAsia="方正仿宋_GBK" w:cs="方正仿宋_GBK"/>
          <w:sz w:val="32"/>
          <w:szCs w:val="32"/>
          <w:shd w:val="clear" w:color="auto" w:fill="FFFFFF"/>
        </w:rPr>
        <w:t>增加86.04</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增长100.0%</w:t>
      </w:r>
      <w:r>
        <w:rPr>
          <w:rFonts w:hint="eastAsia" w:ascii="方正仿宋_GBK" w:eastAsia="方正仿宋_GBK" w:hAnsiTheme="minorHAnsi" w:cstheme="minorBidi"/>
          <w:kern w:val="2"/>
          <w:sz w:val="32"/>
          <w:szCs w:val="32"/>
          <w:lang w:val="en-US" w:eastAsia="zh-CN" w:bidi="ar-SA"/>
        </w:rPr>
        <w:t>。主要原因2024年依据财政局要求，本单位将事业单位划分为重庆市铜梁区太平镇</w:t>
      </w:r>
      <w:r>
        <w:rPr>
          <w:rFonts w:hint="eastAsia" w:ascii="方正仿宋_GBK" w:eastAsia="方正仿宋_GBK" w:cstheme="minorBidi"/>
          <w:kern w:val="2"/>
          <w:sz w:val="32"/>
          <w:szCs w:val="32"/>
          <w:lang w:val="en-US" w:eastAsia="zh-CN" w:bidi="ar-SA"/>
        </w:rPr>
        <w:t>劳动就业和社会保障服务所</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减少16.61</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下降16.2%</w:t>
      </w:r>
      <w:r>
        <w:rPr>
          <w:rFonts w:hint="eastAsia" w:ascii="方正仿宋_GBK" w:eastAsia="方正仿宋_GBK" w:hAnsiTheme="minorHAnsi" w:cstheme="minorBidi"/>
          <w:kern w:val="2"/>
          <w:sz w:val="32"/>
          <w:szCs w:val="32"/>
          <w:lang w:val="en-US" w:eastAsia="zh-CN" w:bidi="ar-SA"/>
        </w:rPr>
        <w:t>。主要原因是社</w:t>
      </w:r>
      <w:r>
        <w:rPr>
          <w:rFonts w:hint="eastAsia" w:ascii="方正仿宋_GBK" w:eastAsia="方正仿宋_GBK" w:cstheme="minorBidi"/>
          <w:kern w:val="2"/>
          <w:sz w:val="32"/>
          <w:szCs w:val="32"/>
          <w:lang w:val="en-US" w:eastAsia="zh-CN" w:bidi="ar-SA"/>
        </w:rPr>
        <w:t>会保障和就业、卫生健康方面财政拨款支出比预算数减少。</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3.结转结余情况。</w:t>
      </w:r>
      <w:r>
        <w:rPr>
          <w:rFonts w:hint="eastAsia" w:ascii="方正仿宋_GBK" w:eastAsia="方正仿宋_GBK" w:cstheme="minorBidi"/>
          <w:kern w:val="2"/>
          <w:sz w:val="32"/>
          <w:szCs w:val="32"/>
          <w:lang w:val="en-US" w:eastAsia="zh-CN" w:bidi="ar-SA"/>
        </w:rPr>
        <w:t>2024</w:t>
      </w:r>
      <w:r>
        <w:rPr>
          <w:rFonts w:hint="eastAsia" w:ascii="方正仿宋_GBK" w:eastAsia="方正仿宋_GBK" w:hAnsiTheme="minorHAnsi" w:cstheme="minorBidi"/>
          <w:kern w:val="2"/>
          <w:sz w:val="32"/>
          <w:szCs w:val="32"/>
          <w:lang w:val="en-US" w:eastAsia="zh-CN" w:bidi="ar-SA"/>
        </w:rPr>
        <w:t>年度年末一般公共预算财政拨款结转和结余</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万元，较上年决算数无增减。</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FF0000"/>
          <w:sz w:val="32"/>
          <w:szCs w:val="32"/>
          <w:highlight w:val="cyan"/>
          <w:shd w:val="clear" w:color="auto" w:fill="FFFFFF"/>
        </w:rPr>
      </w:pPr>
      <w:r>
        <w:rPr>
          <w:rFonts w:hint="eastAsia" w:ascii="方正仿宋_GBK" w:eastAsia="方正仿宋_GBK" w:hAnsiTheme="minorHAnsi" w:cstheme="minorBidi"/>
          <w:kern w:val="2"/>
          <w:sz w:val="32"/>
          <w:szCs w:val="32"/>
          <w:lang w:val="en-US" w:eastAsia="zh-CN" w:bidi="ar-SA"/>
        </w:rPr>
        <w:t>4.比较情况。本</w:t>
      </w:r>
      <w:r>
        <w:rPr>
          <w:rFonts w:hint="eastAsia" w:ascii="方正仿宋_GBK" w:eastAsia="方正仿宋_GBK" w:cstheme="minorBidi"/>
          <w:kern w:val="2"/>
          <w:sz w:val="32"/>
          <w:szCs w:val="32"/>
          <w:lang w:val="en-US" w:eastAsia="zh-CN" w:bidi="ar-SA"/>
        </w:rPr>
        <w:t>单位2024</w:t>
      </w:r>
      <w:r>
        <w:rPr>
          <w:rFonts w:hint="eastAsia" w:ascii="方正仿宋_GBK" w:eastAsia="方正仿宋_GBK" w:hAnsiTheme="minorHAnsi" w:cstheme="minorBidi"/>
          <w:kern w:val="2"/>
          <w:sz w:val="32"/>
          <w:szCs w:val="32"/>
          <w:lang w:val="en-US" w:eastAsia="zh-CN" w:bidi="ar-SA"/>
        </w:rPr>
        <w:t>年度一般公共预算财政拨款支出主要用于以下几个方面：</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cstheme="minorBidi"/>
          <w:kern w:val="2"/>
          <w:sz w:val="32"/>
          <w:szCs w:val="32"/>
          <w:lang w:val="en-US" w:eastAsia="zh-CN" w:bidi="ar-SA"/>
        </w:rPr>
        <w:t>（1）社会保障与就业支出</w:t>
      </w:r>
      <w:r>
        <w:rPr>
          <w:rFonts w:ascii="方正仿宋_GBK" w:hAnsi="方正仿宋_GBK" w:eastAsia="方正仿宋_GBK" w:cs="方正仿宋_GBK"/>
          <w:sz w:val="32"/>
          <w:szCs w:val="32"/>
        </w:rPr>
        <w:t>79.42</w:t>
      </w:r>
      <w:r>
        <w:rPr>
          <w:rFonts w:hint="eastAsia" w:ascii="方正仿宋_GBK" w:eastAsia="方正仿宋_GBK" w:cstheme="minorBidi"/>
          <w:kern w:val="2"/>
          <w:sz w:val="32"/>
          <w:szCs w:val="32"/>
          <w:lang w:val="en-US" w:eastAsia="zh-CN" w:bidi="ar-SA"/>
        </w:rPr>
        <w:t>万元，占</w:t>
      </w:r>
      <w:r>
        <w:rPr>
          <w:rFonts w:ascii="方正仿宋_GBK" w:hAnsi="方正仿宋_GBK" w:eastAsia="方正仿宋_GBK" w:cs="方正仿宋_GBK"/>
          <w:sz w:val="32"/>
          <w:szCs w:val="32"/>
        </w:rPr>
        <w:t>92.30</w:t>
      </w:r>
      <w:r>
        <w:rPr>
          <w:rFonts w:ascii="方正仿宋_GBK" w:hAnsi="方正仿宋_GBK" w:eastAsia="方正仿宋_GBK" w:cs="方正仿宋_GBK"/>
          <w:sz w:val="32"/>
          <w:szCs w:val="32"/>
          <w:shd w:val="clear" w:color="auto" w:fill="FFFFFF"/>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减少15.02</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下降15.9%</w:t>
      </w:r>
      <w:r>
        <w:rPr>
          <w:rFonts w:hint="eastAsia" w:ascii="方正仿宋_GBK" w:eastAsia="方正仿宋_GBK" w:hAnsiTheme="minorHAnsi" w:cstheme="minorBidi"/>
          <w:kern w:val="2"/>
          <w:sz w:val="32"/>
          <w:szCs w:val="32"/>
          <w:lang w:val="en-US" w:eastAsia="zh-CN" w:bidi="ar-SA"/>
        </w:rPr>
        <w:t>，主要原因是本年度调资，社保缴费</w:t>
      </w:r>
      <w:r>
        <w:rPr>
          <w:rFonts w:hint="eastAsia" w:ascii="方正仿宋_GBK" w:eastAsia="方正仿宋_GBK" w:cstheme="minorBidi"/>
          <w:kern w:val="2"/>
          <w:sz w:val="32"/>
          <w:szCs w:val="32"/>
          <w:lang w:val="en-US" w:eastAsia="zh-CN" w:bidi="ar-SA"/>
        </w:rPr>
        <w:t>比预算数减少</w:t>
      </w:r>
      <w:r>
        <w:rPr>
          <w:rFonts w:hint="eastAsia" w:ascii="方正仿宋_GBK" w:eastAsia="方正仿宋_GBK" w:hAnsiTheme="minorHAnsi" w:cstheme="minorBidi"/>
          <w:kern w:val="2"/>
          <w:sz w:val="32"/>
          <w:szCs w:val="32"/>
          <w:lang w:val="en-US" w:eastAsia="zh-CN" w:bidi="ar-SA"/>
        </w:rPr>
        <w:t>。</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2</w:t>
      </w:r>
      <w:r>
        <w:rPr>
          <w:rFonts w:hint="eastAsia" w:ascii="方正仿宋_GBK" w:eastAsia="方正仿宋_GBK" w:hAnsiTheme="minorHAnsi" w:cstheme="minorBidi"/>
          <w:kern w:val="2"/>
          <w:sz w:val="32"/>
          <w:szCs w:val="32"/>
          <w:lang w:val="en-US" w:eastAsia="zh-CN" w:bidi="ar-SA"/>
        </w:rPr>
        <w:t>）卫生健康支出</w:t>
      </w:r>
      <w:r>
        <w:rPr>
          <w:rFonts w:ascii="方正仿宋_GBK" w:hAnsi="方正仿宋_GBK" w:eastAsia="方正仿宋_GBK" w:cs="方正仿宋_GBK"/>
          <w:sz w:val="32"/>
          <w:szCs w:val="32"/>
        </w:rPr>
        <w:t>3.01</w:t>
      </w:r>
      <w:r>
        <w:rPr>
          <w:rFonts w:hint="eastAsia" w:ascii="方正仿宋_GBK" w:eastAsia="方正仿宋_GBK" w:hAnsiTheme="minorHAnsi" w:cstheme="minorBidi"/>
          <w:kern w:val="2"/>
          <w:sz w:val="32"/>
          <w:szCs w:val="32"/>
          <w:lang w:val="en-US" w:eastAsia="zh-CN" w:bidi="ar-SA"/>
        </w:rPr>
        <w:t>万元，占</w:t>
      </w:r>
      <w:r>
        <w:rPr>
          <w:rFonts w:ascii="方正仿宋_GBK" w:hAnsi="方正仿宋_GBK" w:eastAsia="方正仿宋_GBK" w:cs="方正仿宋_GBK"/>
          <w:sz w:val="32"/>
          <w:szCs w:val="32"/>
        </w:rPr>
        <w:t>3.50</w:t>
      </w:r>
      <w:r>
        <w:rPr>
          <w:rFonts w:ascii="方正仿宋_GBK" w:hAnsi="方正仿宋_GBK" w:eastAsia="方正仿宋_GBK" w:cs="方正仿宋_GBK"/>
          <w:sz w:val="32"/>
          <w:szCs w:val="32"/>
          <w:shd w:val="clear" w:color="auto" w:fill="FFFFFF"/>
        </w:rPr>
        <w:t>%</w:t>
      </w:r>
      <w:r>
        <w:rPr>
          <w:rFonts w:hint="eastAsia" w:ascii="方正仿宋_GBK" w:eastAsia="方正仿宋_GBK" w:hAnsiTheme="minorHAnsi" w:cstheme="minorBidi"/>
          <w:kern w:val="2"/>
          <w:sz w:val="32"/>
          <w:szCs w:val="32"/>
          <w:lang w:val="en-US" w:eastAsia="zh-CN" w:bidi="ar-SA"/>
        </w:rPr>
        <w:t>，较年初预算数</w:t>
      </w:r>
      <w:r>
        <w:rPr>
          <w:rFonts w:ascii="方正仿宋_GBK" w:hAnsi="方正仿宋_GBK" w:eastAsia="方正仿宋_GBK" w:cs="方正仿宋_GBK"/>
          <w:sz w:val="32"/>
          <w:szCs w:val="32"/>
          <w:shd w:val="clear" w:color="auto" w:fill="FFFFFF"/>
        </w:rPr>
        <w:t>减少1.58</w:t>
      </w:r>
      <w:r>
        <w:rPr>
          <w:rFonts w:hint="eastAsia" w:ascii="方正仿宋_GBK" w:eastAsia="方正仿宋_GBK" w:hAnsiTheme="minorHAnsi" w:cstheme="minorBidi"/>
          <w:kern w:val="2"/>
          <w:sz w:val="32"/>
          <w:szCs w:val="32"/>
          <w:lang w:val="en-US" w:eastAsia="zh-CN" w:bidi="ar-SA"/>
        </w:rPr>
        <w:t>万元，</w:t>
      </w:r>
      <w:r>
        <w:rPr>
          <w:rFonts w:ascii="方正仿宋_GBK" w:hAnsi="方正仿宋_GBK" w:eastAsia="方正仿宋_GBK" w:cs="方正仿宋_GBK"/>
          <w:sz w:val="32"/>
          <w:szCs w:val="32"/>
          <w:shd w:val="clear" w:color="auto" w:fill="FFFFFF"/>
        </w:rPr>
        <w:t>下降34.4%</w:t>
      </w:r>
      <w:r>
        <w:rPr>
          <w:rFonts w:hint="eastAsia" w:ascii="方正仿宋_GBK" w:eastAsia="方正仿宋_GBK" w:hAnsiTheme="minorHAnsi" w:cstheme="minorBidi"/>
          <w:kern w:val="2"/>
          <w:sz w:val="32"/>
          <w:szCs w:val="32"/>
          <w:lang w:val="en-US" w:eastAsia="zh-CN" w:bidi="ar-SA"/>
        </w:rPr>
        <w:t>，主要原因是本年度调资，</w:t>
      </w:r>
      <w:r>
        <w:rPr>
          <w:rFonts w:hint="eastAsia" w:ascii="方正仿宋_GBK" w:eastAsia="方正仿宋_GBK" w:cstheme="minorBidi"/>
          <w:kern w:val="2"/>
          <w:sz w:val="32"/>
          <w:szCs w:val="32"/>
          <w:lang w:val="en-US" w:eastAsia="zh-CN" w:bidi="ar-SA"/>
        </w:rPr>
        <w:t>医疗保险</w:t>
      </w:r>
      <w:r>
        <w:rPr>
          <w:rFonts w:hint="eastAsia" w:ascii="方正仿宋_GBK" w:eastAsia="方正仿宋_GBK" w:hAnsiTheme="minorHAnsi" w:cstheme="minorBidi"/>
          <w:kern w:val="2"/>
          <w:sz w:val="32"/>
          <w:szCs w:val="32"/>
          <w:lang w:val="en-US" w:eastAsia="zh-CN" w:bidi="ar-SA"/>
        </w:rPr>
        <w:t>缴费</w:t>
      </w:r>
      <w:r>
        <w:rPr>
          <w:rFonts w:hint="eastAsia" w:ascii="方正仿宋_GBK" w:eastAsia="方正仿宋_GBK" w:cstheme="minorBidi"/>
          <w:kern w:val="2"/>
          <w:sz w:val="32"/>
          <w:szCs w:val="32"/>
          <w:lang w:val="en-US" w:eastAsia="zh-CN" w:bidi="ar-SA"/>
        </w:rPr>
        <w:t>比预算数减少</w:t>
      </w:r>
      <w:r>
        <w:rPr>
          <w:rFonts w:hint="eastAsia" w:ascii="方正仿宋_GBK" w:eastAsia="方正仿宋_GBK" w:hAnsiTheme="minorHAnsi" w:cstheme="minorBidi"/>
          <w:kern w:val="2"/>
          <w:sz w:val="32"/>
          <w:szCs w:val="32"/>
          <w:lang w:val="en-US" w:eastAsia="zh-CN" w:bidi="ar-SA"/>
        </w:rPr>
        <w:t>。</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eastAsia="方正仿宋_GBK" w:hAnsiTheme="minorHAnsi" w:cstheme="minorBidi"/>
          <w:kern w:val="2"/>
          <w:sz w:val="32"/>
          <w:szCs w:val="32"/>
          <w:lang w:val="en-US" w:eastAsia="zh-CN" w:bidi="ar-SA"/>
        </w:rPr>
      </w:pPr>
      <w:r>
        <w:rPr>
          <w:rFonts w:hint="eastAsia" w:ascii="方正仿宋_GBK" w:eastAsia="方正仿宋_GBK" w:cstheme="minorBidi"/>
          <w:kern w:val="2"/>
          <w:sz w:val="32"/>
          <w:szCs w:val="32"/>
          <w:lang w:val="en-US" w:eastAsia="zh-CN" w:bidi="ar-SA"/>
        </w:rPr>
        <w:t>（3）</w:t>
      </w:r>
      <w:r>
        <w:rPr>
          <w:rFonts w:ascii="方正仿宋_GBK" w:hAnsi="方正仿宋_GBK" w:eastAsia="方正仿宋_GBK" w:cs="方正仿宋_GBK"/>
          <w:sz w:val="32"/>
          <w:szCs w:val="32"/>
        </w:rPr>
        <w:t>住房保障支出3.61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4.20</w:t>
      </w:r>
      <w:r>
        <w:rPr>
          <w:rFonts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（四）一般公共预算财政拨款基本支出决算情况说明</w:t>
      </w:r>
    </w:p>
    <w:p>
      <w:pPr>
        <w:pStyle w:val="4"/>
        <w:keepNext w:val="0"/>
        <w:keepLines w:val="0"/>
        <w:pageBreakBefore w:val="0"/>
        <w:widowControl w:val="0"/>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年度一般公共财政拨款基本支出</w:t>
      </w:r>
      <w:r>
        <w:rPr>
          <w:rFonts w:ascii="方正仿宋_GBK" w:hAnsi="方正仿宋_GBK" w:eastAsia="方正仿宋_GBK" w:cs="方正仿宋_GBK"/>
          <w:sz w:val="32"/>
          <w:szCs w:val="32"/>
        </w:rPr>
        <w:t>85.97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84.16</w:t>
      </w:r>
      <w:r>
        <w:rPr>
          <w:rFonts w:ascii="方正仿宋_GBK" w:hAnsi="方正仿宋_GBK" w:eastAsia="方正仿宋_GBK" w:cs="方正仿宋_GBK"/>
          <w:sz w:val="32"/>
          <w:szCs w:val="32"/>
          <w:shd w:val="clear" w:color="auto" w:fill="FFFFFF"/>
        </w:rPr>
        <w:t>万元，较上年决算数增加84.16万元，增长100.0%，主要原因是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劳动就业和社会保障服务所</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基本支出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Calibri" w:eastAsia="方正仿宋_GBK" w:cs="Times New Roman"/>
          <w:kern w:val="2"/>
          <w:sz w:val="32"/>
          <w:szCs w:val="32"/>
        </w:rPr>
        <w:t>基本工资、津贴补贴、绩效工资、奖金、社会保障缴费、住房公积金、应休未休假报酬等</w:t>
      </w:r>
      <w:r>
        <w:rPr>
          <w:rFonts w:ascii="方正仿宋_GBK" w:hAnsi="Calibri" w:eastAsia="方正仿宋_GBK" w:cs="Times New Roman"/>
          <w:kern w:val="2"/>
          <w:sz w:val="32"/>
          <w:szCs w:val="32"/>
        </w:rPr>
        <w:t>。</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1.82</w:t>
      </w:r>
      <w:r>
        <w:rPr>
          <w:rFonts w:ascii="方正仿宋_GBK" w:hAnsi="方正仿宋_GBK" w:eastAsia="方正仿宋_GBK" w:cs="方正仿宋_GBK"/>
          <w:sz w:val="32"/>
          <w:szCs w:val="32"/>
          <w:shd w:val="clear" w:color="auto" w:fill="FFFFFF"/>
        </w:rPr>
        <w:t>万元，较上年决算数增加1.82万元，增长100.0%，主要原因是</w:t>
      </w:r>
      <w:r>
        <w:rPr>
          <w:rFonts w:hint="eastAsia" w:ascii="方正仿宋_GBK" w:eastAsia="方正仿宋_GBK" w:hAnsiTheme="minorHAnsi" w:cstheme="minorBidi"/>
          <w:kern w:val="2"/>
          <w:sz w:val="32"/>
          <w:szCs w:val="32"/>
          <w:lang w:val="en-US" w:eastAsia="zh-CN" w:bidi="ar-SA"/>
        </w:rPr>
        <w:t>2024年依据财政局要求，本单位将事业单位划分为重庆市铜梁区太平镇</w:t>
      </w:r>
      <w:r>
        <w:rPr>
          <w:rFonts w:hint="eastAsia" w:ascii="方正仿宋_GBK" w:eastAsia="方正仿宋_GBK" w:cstheme="minorBidi"/>
          <w:kern w:val="2"/>
          <w:sz w:val="32"/>
          <w:szCs w:val="32"/>
          <w:lang w:val="en-US" w:eastAsia="zh-CN" w:bidi="ar-SA"/>
        </w:rPr>
        <w:t>劳动就业和社会保障服务所</w:t>
      </w:r>
      <w:r>
        <w:rPr>
          <w:rFonts w:hint="eastAsia" w:ascii="方正仿宋_GBK" w:eastAsia="方正仿宋_GBK" w:hAnsiTheme="minorHAnsi" w:cstheme="minorBidi"/>
          <w:kern w:val="2"/>
          <w:sz w:val="32"/>
          <w:szCs w:val="32"/>
          <w:lang w:val="en-US" w:eastAsia="zh-CN" w:bidi="ar-SA"/>
        </w:rPr>
        <w:t>等七个账套单独核算，上年度未单独核算，</w:t>
      </w:r>
      <w:r>
        <w:rPr>
          <w:rFonts w:hint="eastAsia" w:ascii="方正仿宋_GBK" w:eastAsia="方正仿宋_GBK" w:cstheme="minorBidi"/>
          <w:kern w:val="2"/>
          <w:sz w:val="32"/>
          <w:szCs w:val="32"/>
          <w:lang w:val="en-US" w:eastAsia="zh-CN" w:bidi="ar-SA"/>
        </w:rPr>
        <w:t>基本支出</w:t>
      </w:r>
      <w:r>
        <w:rPr>
          <w:rFonts w:hint="eastAsia" w:ascii="方正仿宋_GBK" w:eastAsia="方正仿宋_GBK" w:hAnsiTheme="minorHAnsi" w:cstheme="minorBidi"/>
          <w:kern w:val="2"/>
          <w:sz w:val="32"/>
          <w:szCs w:val="32"/>
          <w:lang w:val="en-US" w:eastAsia="zh-CN" w:bidi="ar-SA"/>
        </w:rPr>
        <w:t>为0</w:t>
      </w:r>
      <w:r>
        <w:rPr>
          <w:rFonts w:hint="eastAsia" w:ascii="方正仿宋_GBK" w:eastAsia="方正仿宋_GBK" w:cstheme="minorBidi"/>
          <w:kern w:val="2"/>
          <w:sz w:val="32"/>
          <w:szCs w:val="32"/>
          <w:lang w:val="en-US" w:eastAsia="zh-CN" w:bidi="ar-SA"/>
        </w:rPr>
        <w:t>万元</w:t>
      </w:r>
      <w:r>
        <w:rPr>
          <w:rFonts w:hint="eastAsia" w:ascii="方正仿宋_GBK" w:eastAsia="方正仿宋_GBK" w:hAnsiTheme="minorHAnsi" w:cstheme="minorBidi"/>
          <w:kern w:val="2"/>
          <w:sz w:val="32"/>
          <w:szCs w:val="32"/>
          <w:lang w:val="en-US" w:eastAsia="zh-CN" w:bidi="ar-SA"/>
        </w:rPr>
        <w:t>，故本年度增长100</w:t>
      </w:r>
      <w:r>
        <w:rPr>
          <w:rFonts w:hint="eastAsia" w:ascii="方正仿宋_GBK" w:eastAsia="方正仿宋_GBK" w:cstheme="minorBidi"/>
          <w:kern w:val="2"/>
          <w:sz w:val="32"/>
          <w:szCs w:val="32"/>
          <w:lang w:val="en-US" w:eastAsia="zh-CN" w:bidi="ar-SA"/>
        </w:rPr>
        <w:t>.0</w:t>
      </w:r>
      <w:r>
        <w:rPr>
          <w:rFonts w:hint="eastAsia" w:ascii="方正仿宋_GBK" w:eastAsia="方正仿宋_GBK" w:hAnsiTheme="minorHAnsi" w:cstheme="minorBidi"/>
          <w:kern w:val="2"/>
          <w:sz w:val="32"/>
          <w:szCs w:val="32"/>
          <w:lang w:val="en-US" w:eastAsia="zh-CN" w:bidi="ar-SA"/>
        </w:rPr>
        <w:t>%</w:t>
      </w:r>
      <w:r>
        <w:rPr>
          <w:rFonts w:hint="eastAsia" w:ascii="方正仿宋_GBK" w:eastAsia="方正仿宋_GBK" w:cstheme="minorBidi"/>
          <w:kern w:val="2"/>
          <w:sz w:val="32"/>
          <w:szCs w:val="32"/>
          <w:lang w:val="en-US" w:eastAsia="zh-CN" w:bidi="ar-SA"/>
        </w:rPr>
        <w:t>。</w:t>
      </w:r>
      <w:r>
        <w:rPr>
          <w:rFonts w:ascii="方正仿宋_GBK" w:hAnsi="方正仿宋_GBK" w:eastAsia="方正仿宋_GBK" w:cs="方正仿宋_GBK"/>
          <w:sz w:val="32"/>
          <w:szCs w:val="32"/>
          <w:shd w:val="clear" w:color="auto" w:fill="FFFFFF"/>
        </w:rPr>
        <w:t>公用经费用途主要包括</w:t>
      </w:r>
      <w:r>
        <w:rPr>
          <w:rFonts w:hint="eastAsia" w:ascii="方正仿宋_GBK" w:hAnsi="Calibri" w:eastAsia="方正仿宋_GBK" w:cs="Times New Roman"/>
          <w:kern w:val="2"/>
          <w:sz w:val="32"/>
          <w:szCs w:val="32"/>
        </w:rPr>
        <w:t>办公费、印刷费、咨询费、水费、电费、邮电费、差旅费、维修（护）费、公务接待费、劳务费、工会经费、其他交通费等。</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（五）政府性基金预算收支决算情况说明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度无政府性基金预算财政拨款收支</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（六）国有资本经营预算财政拨款支出决算情况说明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000000" w:themeColor="text1"/>
          <w:sz w:val="32"/>
          <w:szCs w:val="32"/>
          <w:shd w:val="clear" w:color="auto" w:fill="FFFFFF"/>
          <w14:textFill>
            <w14:solidFill>
              <w14:schemeClr w14:val="tx1"/>
            </w14:solidFill>
          </w14:textFill>
        </w:rPr>
      </w:pP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本</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单位2024</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年度无国有资本经营预算财政拨款支出。</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三、财政拨款“三公”经费情况说明</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3" w:firstLineChars="200"/>
        <w:textAlignment w:val="auto"/>
        <w:rPr>
          <w:rFonts w:hint="eastAsia" w:ascii="方正楷体_GBK" w:hAnsi="Calibri" w:eastAsia="方正楷体_GBK" w:cs="Times New Roman"/>
          <w:kern w:val="2"/>
          <w:sz w:val="32"/>
          <w:szCs w:val="32"/>
          <w:lang w:val="en-US" w:eastAsia="zh-CN" w:bidi="ar-SA"/>
        </w:rPr>
      </w:pPr>
      <w:r>
        <w:rPr>
          <w:rFonts w:hint="eastAsia" w:ascii="楷体" w:hAnsi="楷体" w:eastAsia="楷体" w:cs="楷体"/>
          <w:b/>
          <w:bCs/>
          <w:sz w:val="32"/>
          <w:szCs w:val="32"/>
          <w:shd w:val="clear" w:color="auto" w:fill="FFFFFF"/>
        </w:rPr>
        <w:t xml:space="preserve"> </w:t>
      </w:r>
      <w:r>
        <w:rPr>
          <w:rFonts w:hint="eastAsia" w:ascii="方正楷体_GBK" w:hAnsi="Calibri" w:eastAsia="方正楷体_GBK" w:cs="Times New Roman"/>
          <w:kern w:val="2"/>
          <w:sz w:val="32"/>
          <w:szCs w:val="32"/>
          <w:lang w:val="en-US" w:eastAsia="zh-CN" w:bidi="ar-SA"/>
        </w:rPr>
        <w:t>（一）“三公”经费支出总体情况说明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eastAsia="方正仿宋_GBK" w:cstheme="minorBidi"/>
          <w:kern w:val="2"/>
          <w:sz w:val="32"/>
          <w:szCs w:val="32"/>
          <w:lang w:val="en-US" w:eastAsia="zh-CN" w:bidi="ar-SA"/>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（二）“三公”经费分项支出情况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本单位因公出国（境）费用0万元，费用支出较年初预算数增加0万元，增长0.0%。较上年支出数增加0万元，增长0.0%。2024年度我单位无因公出国（境）支出，与上年度决算数持平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val="en-US" w:eastAsia="zh-CN"/>
        </w:rPr>
        <w:t>本单位</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val="en-US" w:eastAsia="zh-CN"/>
        </w:rPr>
        <w:t>费用支出较年初预算数增加0万元，增长0.0%。较上年支出数增加0万元，增长0.0%。2024年度我单位无</w:t>
      </w:r>
      <w:r>
        <w:rPr>
          <w:rFonts w:ascii="方正仿宋_GBK" w:hAnsi="方正仿宋_GBK" w:eastAsia="方正仿宋_GBK" w:cs="方正仿宋_GBK"/>
          <w:sz w:val="32"/>
          <w:szCs w:val="32"/>
          <w:shd w:val="clear" w:color="auto" w:fill="FFFFFF"/>
        </w:rPr>
        <w:t>公务车购置费</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机要文件交换、区内因公出行、各种业务检查、应急处突等工作所需车辆的燃料费、维修费、过桥过路费、洗车停车费、保险费等</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rPr>
        <w:t>。</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公务接待费</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费用支出较年初预算数无增减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lang w:val="en-US" w:eastAsia="zh-CN"/>
        </w:rPr>
        <w:t>与上年度决算数持平</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（三）“三公”经费实物量情况</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bCs/>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w:t>
      </w:r>
    </w:p>
    <w:p>
      <w:pPr>
        <w:pStyle w:val="4"/>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四、其他需要说明的事项</w:t>
      </w:r>
    </w:p>
    <w:p>
      <w:pPr>
        <w:pStyle w:val="8"/>
        <w:keepNext w:val="0"/>
        <w:keepLines w:val="0"/>
        <w:pageBreakBefore w:val="0"/>
        <w:widowControl w:val="0"/>
        <w:kinsoku/>
        <w:wordWrap/>
        <w:overflowPunct/>
        <w:topLinePunct w:val="0"/>
        <w:autoSpaceDE w:val="0"/>
        <w:autoSpaceDN/>
        <w:bidi w:val="0"/>
        <w:adjustRightInd/>
        <w:spacing w:beforeAutospacing="0" w:afterAutospacing="0" w:line="594" w:lineRule="exact"/>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（一）财政拨款会议费和培训费情况说明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本年度会议费支出0万元，较上年决算数无增减。本年度培训费支出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万元，较上年决算数无增减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（二）机关运行经费情况说明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万元，机关运行经费主要用于</w:t>
      </w:r>
      <w:bookmarkStart w:id="0" w:name="_GoBack"/>
      <w:bookmarkEnd w:id="0"/>
      <w:r>
        <w:rPr>
          <w:rFonts w:ascii="方正仿宋_GBK" w:hAnsi="方正仿宋_GBK" w:eastAsia="方正仿宋_GBK" w:cs="方正仿宋_GBK"/>
          <w:sz w:val="32"/>
          <w:szCs w:val="32"/>
          <w:shd w:val="clear" w:color="auto" w:fill="FFFFFF"/>
        </w:rPr>
        <w:t>开支</w:t>
      </w:r>
      <w:r>
        <w:rPr>
          <w:rFonts w:hint="eastAsia" w:ascii="方正仿宋_GBK" w:hAnsi="方正仿宋_GBK" w:eastAsia="方正仿宋_GBK" w:cs="方正仿宋_GBK"/>
          <w:sz w:val="32"/>
          <w:szCs w:val="32"/>
          <w:shd w:val="clear" w:color="auto" w:fill="FFFFFF"/>
        </w:rPr>
        <w:t>办公费、印刷费、咨询费、水费、电费、邮电费、差旅费、维修（护）费、公务接待费、劳务费、工会经费、其他交通费等。</w:t>
      </w:r>
      <w:r>
        <w:rPr>
          <w:rFonts w:ascii="方正仿宋_GBK" w:hAnsi="方正仿宋_GBK" w:eastAsia="方正仿宋_GBK" w:cs="方正仿宋_GBK"/>
          <w:sz w:val="32"/>
          <w:szCs w:val="32"/>
          <w:shd w:val="clear" w:color="auto" w:fill="FFFFFF"/>
        </w:rPr>
        <w:t>机关运行经费较上年支出数无增减</w:t>
      </w:r>
      <w:r>
        <w:rPr>
          <w:rFonts w:hint="eastAsia" w:ascii="方正仿宋_GBK" w:hAnsi="方正仿宋_GBK" w:eastAsia="方正仿宋_GBK" w:cs="方正仿宋_GBK"/>
          <w:sz w:val="32"/>
          <w:szCs w:val="32"/>
          <w:shd w:val="clear" w:color="auto" w:fill="FFFFFF"/>
          <w:lang w:eastAsia="zh-CN"/>
        </w:rPr>
        <w:t>。</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（三）国有资产占用情况说明</w:t>
      </w:r>
    </w:p>
    <w:p>
      <w:pPr>
        <w:pStyle w:val="4"/>
        <w:keepNext w:val="0"/>
        <w:keepLines w:val="0"/>
        <w:pageBreakBefore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年12月31日，本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辆，其中，副部（省）级及以上领导用车0辆、主要负责人用车0辆、机要通信用车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辆、执法执勤用车0辆，特种专业技术用车</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辆，离退休干部用车0辆。单价100万元（含）以上专用设备</w:t>
      </w:r>
      <w:r>
        <w:rPr>
          <w:rFonts w:hint="eastAsia" w:ascii="方正仿宋_GBK" w:hAnsi="方正仿宋_GBK" w:eastAsia="方正仿宋_GBK" w:cs="方正仿宋_GBK"/>
          <w:sz w:val="32"/>
          <w:szCs w:val="32"/>
          <w:shd w:val="clear" w:color="auto" w:fill="FFFFFF"/>
          <w:lang w:val="en-US" w:eastAsia="zh-CN"/>
        </w:rPr>
        <w:t>0</w:t>
      </w:r>
      <w:r>
        <w:rPr>
          <w:rFonts w:ascii="方正仿宋_GBK" w:hAnsi="方正仿宋_GBK" w:eastAsia="方正仿宋_GBK" w:cs="方正仿宋_GBK"/>
          <w:sz w:val="32"/>
          <w:szCs w:val="32"/>
          <w:shd w:val="clear" w:color="auto" w:fill="FFFFFF"/>
        </w:rPr>
        <w:t>台（套）。</w:t>
      </w:r>
    </w:p>
    <w:p>
      <w:pPr>
        <w:pStyle w:val="8"/>
        <w:keepNext w:val="0"/>
        <w:keepLines w:val="0"/>
        <w:pageBreakBefore w:val="0"/>
        <w:kinsoku/>
        <w:wordWrap/>
        <w:overflowPunct/>
        <w:topLinePunct w:val="0"/>
        <w:autoSpaceDE w:val="0"/>
        <w:autoSpaceDN/>
        <w:bidi w:val="0"/>
        <w:adjustRightIn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（四）政府采购支出情况说明</w:t>
      </w:r>
    </w:p>
    <w:p>
      <w:pPr>
        <w:pStyle w:val="4"/>
        <w:keepNext w:val="0"/>
        <w:keepLines w:val="0"/>
        <w:pageBreakBefore w:val="0"/>
        <w:widowControl w:val="0"/>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万元，其中：政府采购货物支出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万元、政府采购服务支出</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万元。授予中小企业合同金额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hint="eastAsia" w:ascii="方正仿宋_GBK" w:hAnsi="方正仿宋_GBK" w:eastAsia="方正仿宋_GBK" w:cs="方正仿宋_GBK"/>
          <w:sz w:val="32"/>
          <w:szCs w:val="32"/>
          <w:lang w:val="en-US" w:eastAsia="zh-CN"/>
        </w:rPr>
        <w:t>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w:t>
      </w:r>
    </w:p>
    <w:p>
      <w:pPr>
        <w:pStyle w:val="4"/>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方正黑体_GBK" w:hAnsi="Times New Roman" w:eastAsia="方正黑体_GBK" w:cs="Times New Roman"/>
          <w:kern w:val="2"/>
          <w:sz w:val="32"/>
          <w:szCs w:val="32"/>
          <w:lang w:val="en-US" w:eastAsia="zh-CN" w:bidi="ar-SA"/>
        </w:rPr>
      </w:pPr>
      <w:r>
        <w:rPr>
          <w:rFonts w:hint="eastAsia" w:ascii="方正黑体_GBK" w:hAnsi="Times New Roman" w:eastAsia="方正黑体_GBK" w:cs="Times New Roman"/>
          <w:kern w:val="2"/>
          <w:sz w:val="32"/>
          <w:szCs w:val="32"/>
          <w:lang w:val="en-US" w:eastAsia="zh-CN" w:bidi="ar-SA"/>
        </w:rPr>
        <w:t>五、预算绩效管理情况说明</w:t>
      </w:r>
    </w:p>
    <w:p>
      <w:pPr>
        <w:pStyle w:val="8"/>
        <w:keepNext w:val="0"/>
        <w:keepLines w:val="0"/>
        <w:pageBreakBefore w:val="0"/>
        <w:widowControl w:val="0"/>
        <w:kinsoku/>
        <w:wordWrap/>
        <w:overflowPunct/>
        <w:topLinePunct w:val="0"/>
        <w:autoSpaceDE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（一）预算绩效管理工作开展情况</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根据预算绩效管理要求，我单位对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个项目开展了绩效自评，其中</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以填报自评表形式开展自评</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项，涉及资金</w:t>
      </w:r>
      <w:r>
        <w:rPr>
          <w:rFonts w:hint="eastAsia" w:ascii="方正仿宋_GBK" w:hAnsi="方正仿宋_GBK" w:eastAsia="方正仿宋_GBK" w:cs="方正仿宋_GBK"/>
          <w:sz w:val="32"/>
          <w:szCs w:val="32"/>
          <w:lang w:val="en-US" w:eastAsia="zh-CN"/>
        </w:rPr>
        <w:t>0.07万</w:t>
      </w:r>
      <w:r>
        <w:rPr>
          <w:rFonts w:hint="eastAsia" w:ascii="方正仿宋_GBK" w:hAnsi="方正仿宋_GBK" w:eastAsia="方正仿宋_GBK" w:cs="方正仿宋_GBK"/>
          <w:sz w:val="32"/>
          <w:szCs w:val="32"/>
        </w:rPr>
        <w:t>元。</w:t>
      </w:r>
    </w:p>
    <w:p>
      <w:pPr>
        <w:keepNext w:val="0"/>
        <w:keepLines w:val="0"/>
        <w:pageBreakBefore w:val="0"/>
        <w:widowControl w:val="0"/>
        <w:kinsoku/>
        <w:wordWrap/>
        <w:overflowPunct/>
        <w:topLinePunct w:val="0"/>
        <w:autoSpaceDN/>
        <w:bidi w:val="0"/>
        <w:adjustRightInd/>
        <w:snapToGrid/>
        <w:spacing w:beforeAutospacing="0" w:afterAutospacing="0" w:line="594" w:lineRule="exact"/>
        <w:ind w:firstLine="640" w:firstLineChars="200"/>
        <w:textAlignment w:val="auto"/>
        <w:rPr>
          <w:rFonts w:hint="eastAsia" w:ascii="方正楷体_GBK" w:hAnsi="Calibri" w:eastAsia="方正楷体_GBK" w:cs="Times New Roman"/>
          <w:kern w:val="2"/>
          <w:sz w:val="32"/>
          <w:szCs w:val="32"/>
          <w:lang w:val="en-US" w:eastAsia="zh-CN" w:bidi="ar-SA"/>
        </w:rPr>
      </w:pPr>
      <w:r>
        <w:rPr>
          <w:rFonts w:hint="eastAsia" w:ascii="方正楷体_GBK" w:hAnsi="Calibri" w:eastAsia="方正楷体_GBK" w:cs="Times New Roman"/>
          <w:kern w:val="2"/>
          <w:sz w:val="32"/>
          <w:szCs w:val="32"/>
          <w:lang w:val="en-US" w:eastAsia="zh-CN" w:bidi="ar-SA"/>
        </w:rPr>
        <w:t>（二）绩效自评结果</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1.绩效目标自评表</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详见</w:t>
      </w:r>
      <w:r>
        <w:rPr>
          <w:rFonts w:hint="eastAsia" w:ascii="方正仿宋_GBK" w:hAnsi="方正仿宋_GBK" w:eastAsia="方正仿宋_GBK" w:cs="方正仿宋_GBK"/>
          <w:sz w:val="32"/>
          <w:szCs w:val="32"/>
          <w:lang w:eastAsia="zh-CN"/>
        </w:rPr>
        <w:t>附件</w:t>
      </w:r>
      <w:r>
        <w:rPr>
          <w:rFonts w:hint="eastAsia" w:ascii="方正仿宋_GBK" w:hAnsi="Calibri" w:eastAsia="方正仿宋_GBK" w:cs="Times New Roman"/>
          <w:kern w:val="2"/>
          <w:sz w:val="32"/>
          <w:szCs w:val="32"/>
        </w:rPr>
        <w:t>重庆市铜梁区太平镇</w:t>
      </w:r>
      <w:r>
        <w:rPr>
          <w:rFonts w:hint="eastAsia" w:ascii="方正仿宋_GBK" w:hAnsi="Calibri" w:eastAsia="方正仿宋_GBK" w:cs="Times New Roman"/>
          <w:kern w:val="2"/>
          <w:sz w:val="32"/>
          <w:szCs w:val="32"/>
          <w:lang w:eastAsia="zh-CN"/>
        </w:rPr>
        <w:t>劳动就业和社会保障服务所2024</w:t>
      </w:r>
      <w:r>
        <w:rPr>
          <w:rFonts w:hint="eastAsia" w:ascii="方正仿宋_GBK" w:hAnsi="Calibri" w:eastAsia="方正仿宋_GBK" w:cs="Times New Roman"/>
          <w:kern w:val="2"/>
          <w:sz w:val="32"/>
          <w:szCs w:val="32"/>
        </w:rPr>
        <w:t>年度项目绩效自评表</w:t>
      </w:r>
      <w:r>
        <w:rPr>
          <w:rFonts w:hint="eastAsia" w:ascii="方正仿宋_GBK" w:hAnsi="Calibri" w:eastAsia="方正仿宋_GBK" w:cs="Times New Roman"/>
          <w:kern w:val="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绩效自评报告或案例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lang w:eastAsia="zh-CN"/>
        </w:rPr>
      </w:pPr>
      <w:r>
        <w:rPr>
          <w:rFonts w:hint="eastAsia" w:ascii="方正仿宋_GBK" w:hAnsi="Calibri" w:eastAsia="方正仿宋_GBK" w:cs="Times New Roman"/>
          <w:kern w:val="2"/>
          <w:sz w:val="32"/>
          <w:szCs w:val="32"/>
        </w:rPr>
        <w:t>我单位未委托</w:t>
      </w:r>
      <w:r>
        <w:rPr>
          <w:rFonts w:ascii="方正仿宋_GBK" w:hAnsi="Calibri" w:eastAsia="方正仿宋_GBK" w:cs="Times New Roman"/>
          <w:kern w:val="2"/>
          <w:sz w:val="32"/>
          <w:szCs w:val="32"/>
        </w:rPr>
        <w:t>第三方开展绩效评价</w:t>
      </w:r>
      <w:r>
        <w:rPr>
          <w:rFonts w:hint="eastAsia" w:ascii="方正仿宋_GBK" w:hAnsi="Calibri" w:eastAsia="方正仿宋_GBK" w:cs="Times New Roman"/>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3.关于绩效自评结果的说明</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我单位对</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个项目进行绩效自评，其中</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个已完成年度绩效目标，</w:t>
      </w:r>
      <w:r>
        <w:rPr>
          <w:rFonts w:hint="eastAsia" w:ascii="方正仿宋_GBK" w:hAnsi="方正仿宋_GBK" w:eastAsia="方正仿宋_GBK" w:cs="方正仿宋_GBK"/>
          <w:sz w:val="32"/>
          <w:szCs w:val="32"/>
          <w:lang w:val="en-US" w:eastAsia="zh-CN"/>
        </w:rPr>
        <w:t>0</w:t>
      </w:r>
      <w:r>
        <w:rPr>
          <w:rFonts w:hint="eastAsia" w:ascii="方正仿宋_GBK" w:hAnsi="方正仿宋_GBK" w:eastAsia="方正仿宋_GBK" w:cs="方正仿宋_GBK"/>
          <w:sz w:val="32"/>
          <w:szCs w:val="32"/>
        </w:rPr>
        <w:t>个未完成年度绩效目标。</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firstLine="420" w:firstLineChars="200"/>
        <w:textAlignment w:val="auto"/>
        <w:rPr>
          <w:rFonts w:hint="eastAsia" w:ascii="方正楷体_GBK" w:hAnsi="Calibri" w:eastAsia="方正楷体_GBK" w:cs="Times New Roman"/>
          <w:kern w:val="2"/>
          <w:sz w:val="32"/>
          <w:szCs w:val="32"/>
          <w:lang w:val="en-US" w:eastAsia="zh-CN" w:bidi="ar-SA"/>
        </w:rPr>
      </w:pPr>
      <w:r>
        <w:t xml:space="preserve">  </w:t>
      </w:r>
      <w:r>
        <w:rPr>
          <w:rFonts w:hint="eastAsia" w:ascii="方正楷体_GBK" w:hAnsi="Calibri" w:eastAsia="方正楷体_GBK" w:cs="Times New Roman"/>
          <w:kern w:val="2"/>
          <w:sz w:val="32"/>
          <w:szCs w:val="32"/>
          <w:lang w:val="en-US" w:eastAsia="zh-CN" w:bidi="ar-SA"/>
        </w:rPr>
        <w:t>（三）财政重点绩效评价情况</w:t>
      </w:r>
    </w:p>
    <w:p>
      <w:pPr>
        <w:pStyle w:val="4"/>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Calibri" w:eastAsia="方正仿宋_GBK" w:cs="Times New Roman"/>
          <w:kern w:val="2"/>
          <w:sz w:val="32"/>
          <w:szCs w:val="32"/>
          <w:lang w:val="en-US" w:eastAsia="zh-CN"/>
        </w:rPr>
        <w:t>我单位无财政重点绩效评价项目。</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黑体_GBK" w:hAnsi="Calibri" w:eastAsia="方正黑体_GBK"/>
          <w:sz w:val="32"/>
          <w:szCs w:val="32"/>
        </w:rPr>
        <w:t>六、专业名词解释</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（一）财政拨款收入：</w:t>
      </w:r>
      <w:r>
        <w:rPr>
          <w:rFonts w:ascii="方正仿宋_GBK" w:hAnsi="Calibri" w:eastAsia="方正仿宋_GBK" w:cs="Times New Roman"/>
          <w:kern w:val="2"/>
          <w:sz w:val="32"/>
          <w:szCs w:val="32"/>
        </w:rPr>
        <w:t>指本年度从本级财政部门取得的财政拨款，包括一般公共预算财政拨款和政府性基金预算财政拨款。</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（二）事业收入：</w:t>
      </w:r>
      <w:r>
        <w:rPr>
          <w:rFonts w:ascii="方正仿宋_GBK" w:hAnsi="Calibri" w:eastAsia="方正仿宋_GBK" w:cs="Times New Roman"/>
          <w:kern w:val="2"/>
          <w:sz w:val="32"/>
          <w:szCs w:val="32"/>
        </w:rPr>
        <w:t>指事业单位开展专业业务活动及其辅助活动取得的现金流入；事业单位收到的财政专户实际核拨的教育收费等资金在此反映。</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（三）经营收入：</w:t>
      </w:r>
      <w:r>
        <w:rPr>
          <w:rFonts w:ascii="方正仿宋_GBK" w:hAnsi="Calibri" w:eastAsia="方正仿宋_GBK" w:cs="Times New Roman"/>
          <w:kern w:val="2"/>
          <w:sz w:val="32"/>
          <w:szCs w:val="32"/>
        </w:rPr>
        <w:t>指事业单位在专业业务活动及其辅助活动之外开展非独立核算经营活动取得的现金流入。</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（四）其他收入：</w:t>
      </w:r>
      <w:r>
        <w:rPr>
          <w:rFonts w:ascii="方正仿宋_GBK" w:hAnsi="Calibri" w:eastAsia="方正仿宋_GBK" w:cs="Times New Roman"/>
          <w:kern w:val="2"/>
          <w:sz w:val="32"/>
          <w:szCs w:val="32"/>
        </w:rPr>
        <w:t>指单位取得的除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（五）使用非财政拨款结余：</w:t>
      </w:r>
      <w:r>
        <w:rPr>
          <w:rFonts w:ascii="方正仿宋_GBK" w:hAnsi="Calibri" w:eastAsia="方正仿宋_GBK" w:cs="Times New Roman"/>
          <w:kern w:val="2"/>
          <w:sz w:val="32"/>
          <w:szCs w:val="32"/>
        </w:rPr>
        <w:t>指单位在当年的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财政拨款收入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事业收入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经营收入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其他收入</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等不足以安排当年支出的情况下，使用以前年度积累的非财政拨款结余弥补本年度收支缺口的资金。</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（六）年初结转和结余：</w:t>
      </w:r>
      <w:r>
        <w:rPr>
          <w:rFonts w:ascii="方正仿宋_GBK" w:hAnsi="Calibri" w:eastAsia="方正仿宋_GBK" w:cs="Times New Roman"/>
          <w:kern w:val="2"/>
          <w:sz w:val="32"/>
          <w:szCs w:val="32"/>
        </w:rPr>
        <w:t>指单位上年结转本年使用的基本支出结转、项目支出结转和结余、经营结余。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（七）结余分配：</w:t>
      </w:r>
      <w:r>
        <w:rPr>
          <w:rFonts w:ascii="方正仿宋_GBK" w:hAnsi="Calibri" w:eastAsia="方正仿宋_GBK" w:cs="Times New Roman"/>
          <w:kern w:val="2"/>
          <w:sz w:val="32"/>
          <w:szCs w:val="32"/>
        </w:rPr>
        <w:t>指单位按照国家有关规定，缴纳所得税、提取专用基金、转入非财政拨款结余等当年结余的分配情况。</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（八）年末结转和结余：</w:t>
      </w:r>
      <w:r>
        <w:rPr>
          <w:rFonts w:ascii="方正仿宋_GBK" w:hAnsi="Calibri" w:eastAsia="方正仿宋_GBK" w:cs="Times New Roman"/>
          <w:kern w:val="2"/>
          <w:sz w:val="32"/>
          <w:szCs w:val="32"/>
        </w:rPr>
        <w:t>指单位结转下年的基本支出结转、项目支出结转和结余、经营结余。</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（九）基本支出：</w:t>
      </w:r>
      <w:r>
        <w:rPr>
          <w:rFonts w:ascii="方正仿宋_GBK" w:hAnsi="Calibri" w:eastAsia="方正仿宋_GBK" w:cs="Times New Roman"/>
          <w:kern w:val="2"/>
          <w:sz w:val="32"/>
          <w:szCs w:val="32"/>
        </w:rPr>
        <w:t>指为保障机构正常运转、完成日常工作任务而发生的人员经费和公用经费。其中：人员经费指政府收支分类经济科目中的</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；公用经费指政府收支分类经济科目中除</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工资福利支出</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和</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对个人和家庭的补助</w:t>
      </w:r>
      <w:r>
        <w:rPr>
          <w:rFonts w:hint="eastAsia" w:ascii="方正仿宋_GBK" w:hAnsi="Calibri" w:eastAsia="方正仿宋_GBK" w:cs="Times New Roman"/>
          <w:kern w:val="2"/>
          <w:sz w:val="32"/>
          <w:szCs w:val="32"/>
          <w:lang w:eastAsia="zh-CN"/>
        </w:rPr>
        <w:t>”</w:t>
      </w:r>
      <w:r>
        <w:rPr>
          <w:rFonts w:ascii="方正仿宋_GBK" w:hAnsi="Calibri" w:eastAsia="方正仿宋_GBK" w:cs="Times New Roman"/>
          <w:kern w:val="2"/>
          <w:sz w:val="32"/>
          <w:szCs w:val="32"/>
        </w:rPr>
        <w:t>外的其他支出。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（十）项目支出：</w:t>
      </w:r>
      <w:r>
        <w:rPr>
          <w:rFonts w:ascii="方正仿宋_GBK" w:hAnsi="Calibri" w:eastAsia="方正仿宋_GBK" w:cs="Times New Roman"/>
          <w:kern w:val="2"/>
          <w:sz w:val="32"/>
          <w:szCs w:val="32"/>
        </w:rPr>
        <w:t>指在基本支出之外为完成特定行政任务和事业发展目标所发生的支出。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（十一）经营支出：</w:t>
      </w:r>
      <w:r>
        <w:rPr>
          <w:rFonts w:ascii="方正仿宋_GBK" w:hAnsi="Calibri" w:eastAsia="方正仿宋_GBK" w:cs="Times New Roman"/>
          <w:kern w:val="2"/>
          <w:sz w:val="32"/>
          <w:szCs w:val="32"/>
        </w:rPr>
        <w:t>指事业单位在专业业务活动及其辅助活动之外开展非独立核算经营活动发生的支出。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（十二）“三公”经费：</w:t>
      </w:r>
      <w:r>
        <w:rPr>
          <w:rFonts w:ascii="方正仿宋_GBK" w:hAnsi="Calibri" w:eastAsia="方正仿宋_GBK" w:cs="Times New Roman"/>
          <w:kern w:val="2"/>
          <w:sz w:val="32"/>
          <w:szCs w:val="32"/>
        </w:rPr>
        <w:t>指用财政拨款安排的因公出国（境）费、公务用车购置及运行维护费、公务接待费。其中，因公出国（境）费反映单位公务出国（境）的国际旅费、国外城市间交通 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（十三）机关运行经费：</w:t>
      </w:r>
      <w:r>
        <w:rPr>
          <w:rFonts w:ascii="方正仿宋_GBK" w:hAnsi="Calibri" w:eastAsia="方正仿宋_GBK" w:cs="Times New Roman"/>
          <w:kern w:val="2"/>
          <w:sz w:val="32"/>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（十四）工资福利支出（支出经济分类科目类级）：</w:t>
      </w:r>
      <w:r>
        <w:rPr>
          <w:rFonts w:ascii="方正仿宋_GBK" w:hAnsi="Calibri" w:eastAsia="方正仿宋_GBK" w:cs="Times New Roman"/>
          <w:kern w:val="2"/>
          <w:sz w:val="32"/>
          <w:szCs w:val="32"/>
        </w:rPr>
        <w:t>反映单位开支的在职职工和编制外长期聘用人员的各类劳动报酬，以及为上述人员缴纳的各项社会保险费等。</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（十五）商品和服务支出（支出经济分类科目类级）：</w:t>
      </w:r>
      <w:r>
        <w:rPr>
          <w:rFonts w:ascii="方正仿宋_GBK" w:hAnsi="Calibri" w:eastAsia="方正仿宋_GBK" w:cs="Times New Roman"/>
          <w:kern w:val="2"/>
          <w:sz w:val="32"/>
          <w:szCs w:val="32"/>
        </w:rPr>
        <w:t>反映单位购买商品和服务的支出（不包括用于购置固定资产的支出、战略性和应急储备支出）。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（十六）对个人和家庭的补助（支出经济分类科目类级）：</w:t>
      </w:r>
      <w:r>
        <w:rPr>
          <w:rFonts w:ascii="方正仿宋_GBK" w:hAnsi="Calibri" w:eastAsia="方正仿宋_GBK" w:cs="Times New Roman"/>
          <w:kern w:val="2"/>
          <w:sz w:val="32"/>
          <w:szCs w:val="32"/>
        </w:rPr>
        <w:t>反映用于对个人和家庭的补助支出。</w:t>
      </w:r>
    </w:p>
    <w:p>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94" w:lineRule="exact"/>
        <w:ind w:left="0" w:firstLine="640" w:firstLineChars="200"/>
        <w:textAlignment w:val="auto"/>
        <w:rPr>
          <w:rFonts w:ascii="方正仿宋_GBK" w:hAnsi="Calibri" w:eastAsia="方正仿宋_GBK" w:cs="Times New Roman"/>
          <w:kern w:val="2"/>
          <w:sz w:val="32"/>
          <w:szCs w:val="32"/>
        </w:rPr>
      </w:pPr>
      <w:r>
        <w:rPr>
          <w:rFonts w:hint="eastAsia" w:ascii="方正仿宋_GBK" w:hAnsi="Calibri" w:eastAsia="方正仿宋_GBK" w:cs="Times New Roman"/>
          <w:kern w:val="2"/>
          <w:sz w:val="32"/>
          <w:szCs w:val="32"/>
        </w:rPr>
        <w:t>（十七）其他资本性支出（支出经济分类科目类级）：</w:t>
      </w:r>
      <w:r>
        <w:rPr>
          <w:rFonts w:ascii="方正仿宋_GBK" w:hAnsi="Calibri" w:eastAsia="方正仿宋_GBK" w:cs="Times New Roman"/>
          <w:kern w:val="2"/>
          <w:sz w:val="32"/>
          <w:szCs w:val="32"/>
        </w:rPr>
        <w:t>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ascii="方正黑体_GBK" w:eastAsia="方正黑体_GBK"/>
          <w:sz w:val="32"/>
          <w:szCs w:val="32"/>
        </w:rPr>
      </w:pPr>
      <w:r>
        <w:rPr>
          <w:rFonts w:hint="eastAsia" w:ascii="方正黑体_GBK" w:eastAsia="方正黑体_GBK"/>
          <w:sz w:val="32"/>
          <w:szCs w:val="32"/>
        </w:rPr>
        <w:t>七、决算公开联系方式</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firstLine="640" w:firstLineChars="200"/>
        <w:textAlignment w:val="auto"/>
        <w:rPr>
          <w:rFonts w:hint="eastAsia" w:ascii="方正仿宋_GBK" w:hAnsi="方正仿宋_GBK" w:eastAsia="方正仿宋_GBK" w:cs="方正仿宋_GBK"/>
          <w:kern w:val="2"/>
          <w:sz w:val="32"/>
          <w:szCs w:val="32"/>
          <w:highlight w:val="yellow"/>
          <w:shd w:val="clear" w:color="auto" w:fill="FFFFFF"/>
          <w:lang w:val="en-US" w:eastAsia="zh-CN" w:bidi="ar-SA"/>
        </w:rPr>
      </w:pPr>
      <w:r>
        <w:rPr>
          <w:rFonts w:ascii="方正仿宋_GBK" w:eastAsia="方正仿宋_GBK"/>
          <w:sz w:val="32"/>
          <w:szCs w:val="32"/>
        </w:rPr>
        <w:t>本单位决算公开信息反馈和联系方式：</w:t>
      </w:r>
      <w:r>
        <w:rPr>
          <w:rFonts w:hint="eastAsia" w:ascii="方正仿宋_GBK" w:eastAsia="方正仿宋_GBK"/>
          <w:sz w:val="32"/>
          <w:szCs w:val="32"/>
        </w:rPr>
        <w:t>向玖俊023-45620179</w:t>
      </w:r>
      <w:r>
        <w:rPr>
          <w:rFonts w:hint="eastAsia" w:ascii="方正仿宋_GBK" w:eastAsia="方正仿宋_GBK"/>
          <w:sz w:val="32"/>
          <w:szCs w:val="32"/>
          <w:lang w:eastAsia="zh-CN"/>
        </w:rPr>
        <w:t>。</w:t>
      </w:r>
    </w:p>
    <w:sectPr>
      <w:footerReference r:id="rId3" w:type="default"/>
      <w:pgSz w:w="11906" w:h="16838"/>
      <w:pgMar w:top="1984" w:right="1446" w:bottom="1644" w:left="14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2"/>
                      <w:rPr>
                        <w:rFonts w:hint="default"/>
                      </w:rPr>
                    </w:pPr>
                    <w:r>
                      <w:fldChar w:fldCharType="begin"/>
                    </w:r>
                    <w:r>
                      <w:instrText xml:space="preserve"> PAGE  \* MERGEFORMAT </w:instrText>
                    </w:r>
                    <w:r>
                      <w:fldChar w:fldCharType="separate"/>
                    </w:r>
                    <w:r>
                      <w:rPr>
                        <w:rFonts w:hint="default"/>
                      </w:rPr>
                      <w:t>- 24 -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3YjgzZTgzYTI4Y2EwMjUxYjQwYjA0NDU1YTQ5YmQifQ=="/>
  </w:docVars>
  <w:rsids>
    <w:rsidRoot w:val="00000000"/>
    <w:rsid w:val="000C7F6F"/>
    <w:rsid w:val="00906343"/>
    <w:rsid w:val="00A27233"/>
    <w:rsid w:val="00F811BC"/>
    <w:rsid w:val="015A7F2D"/>
    <w:rsid w:val="01B36BD0"/>
    <w:rsid w:val="029F722C"/>
    <w:rsid w:val="02B81FC4"/>
    <w:rsid w:val="03E72982"/>
    <w:rsid w:val="0458580D"/>
    <w:rsid w:val="04EB2C51"/>
    <w:rsid w:val="04F07001"/>
    <w:rsid w:val="05EB70A4"/>
    <w:rsid w:val="060373FF"/>
    <w:rsid w:val="061B5933"/>
    <w:rsid w:val="06293905"/>
    <w:rsid w:val="06FD56F0"/>
    <w:rsid w:val="07155C37"/>
    <w:rsid w:val="074B3727"/>
    <w:rsid w:val="074E3014"/>
    <w:rsid w:val="07B54B25"/>
    <w:rsid w:val="07E00403"/>
    <w:rsid w:val="08140FCE"/>
    <w:rsid w:val="08E06A0B"/>
    <w:rsid w:val="08F04266"/>
    <w:rsid w:val="0A3A6BD5"/>
    <w:rsid w:val="0A9F5D59"/>
    <w:rsid w:val="0AA16900"/>
    <w:rsid w:val="0B5E6191"/>
    <w:rsid w:val="0B6A5E36"/>
    <w:rsid w:val="0B927D10"/>
    <w:rsid w:val="0BD40F69"/>
    <w:rsid w:val="0C6B7B04"/>
    <w:rsid w:val="0D0F29CF"/>
    <w:rsid w:val="0D8E6743"/>
    <w:rsid w:val="0D957462"/>
    <w:rsid w:val="0E3B11CE"/>
    <w:rsid w:val="0EA746EC"/>
    <w:rsid w:val="0EF17C01"/>
    <w:rsid w:val="0F10356A"/>
    <w:rsid w:val="0F401DE9"/>
    <w:rsid w:val="0F5D6A14"/>
    <w:rsid w:val="0F631EFD"/>
    <w:rsid w:val="0FA250E1"/>
    <w:rsid w:val="113C371A"/>
    <w:rsid w:val="11401CDB"/>
    <w:rsid w:val="11911382"/>
    <w:rsid w:val="11EB5F12"/>
    <w:rsid w:val="12224CAB"/>
    <w:rsid w:val="124E024F"/>
    <w:rsid w:val="12A06977"/>
    <w:rsid w:val="133B406A"/>
    <w:rsid w:val="1457163D"/>
    <w:rsid w:val="146A439A"/>
    <w:rsid w:val="16B76972"/>
    <w:rsid w:val="16E200C0"/>
    <w:rsid w:val="17B23FA3"/>
    <w:rsid w:val="17BB5F23"/>
    <w:rsid w:val="17BE181D"/>
    <w:rsid w:val="17DB07D7"/>
    <w:rsid w:val="17DC2EB4"/>
    <w:rsid w:val="182C461D"/>
    <w:rsid w:val="189F7A56"/>
    <w:rsid w:val="194B5971"/>
    <w:rsid w:val="1A367A00"/>
    <w:rsid w:val="1A771084"/>
    <w:rsid w:val="1B1D26B2"/>
    <w:rsid w:val="1B6050F1"/>
    <w:rsid w:val="1B727490"/>
    <w:rsid w:val="1B9E2247"/>
    <w:rsid w:val="1BF24C7D"/>
    <w:rsid w:val="1E8916C6"/>
    <w:rsid w:val="1EAF7D54"/>
    <w:rsid w:val="1F282554"/>
    <w:rsid w:val="1FBE4C66"/>
    <w:rsid w:val="1FEE6024"/>
    <w:rsid w:val="201835AA"/>
    <w:rsid w:val="20420F98"/>
    <w:rsid w:val="208714A2"/>
    <w:rsid w:val="20E57C3B"/>
    <w:rsid w:val="21567C5D"/>
    <w:rsid w:val="21627873"/>
    <w:rsid w:val="217F64B8"/>
    <w:rsid w:val="2181419D"/>
    <w:rsid w:val="22202D8C"/>
    <w:rsid w:val="227D6DDB"/>
    <w:rsid w:val="22B3482A"/>
    <w:rsid w:val="22BA1E0F"/>
    <w:rsid w:val="22E220F1"/>
    <w:rsid w:val="22F93C86"/>
    <w:rsid w:val="23DA1943"/>
    <w:rsid w:val="23FF75FB"/>
    <w:rsid w:val="24FE791B"/>
    <w:rsid w:val="250A5FDC"/>
    <w:rsid w:val="256239F7"/>
    <w:rsid w:val="277A156A"/>
    <w:rsid w:val="277D3248"/>
    <w:rsid w:val="27AC4550"/>
    <w:rsid w:val="28285193"/>
    <w:rsid w:val="2858642E"/>
    <w:rsid w:val="288F3E1A"/>
    <w:rsid w:val="28EB4A94"/>
    <w:rsid w:val="2936586D"/>
    <w:rsid w:val="296529D5"/>
    <w:rsid w:val="2A21036F"/>
    <w:rsid w:val="2A351600"/>
    <w:rsid w:val="2A6B34F3"/>
    <w:rsid w:val="2B2A7653"/>
    <w:rsid w:val="2BA34A12"/>
    <w:rsid w:val="2C504E98"/>
    <w:rsid w:val="2C7F39CF"/>
    <w:rsid w:val="2CC967C5"/>
    <w:rsid w:val="2DBD47AF"/>
    <w:rsid w:val="2EBD1F93"/>
    <w:rsid w:val="2EEC76EC"/>
    <w:rsid w:val="2F097580"/>
    <w:rsid w:val="2F2D121D"/>
    <w:rsid w:val="2F662C24"/>
    <w:rsid w:val="2FA31782"/>
    <w:rsid w:val="305A71C9"/>
    <w:rsid w:val="306E6794"/>
    <w:rsid w:val="30CE7CF5"/>
    <w:rsid w:val="31374878"/>
    <w:rsid w:val="314937FB"/>
    <w:rsid w:val="31861B0E"/>
    <w:rsid w:val="3262206A"/>
    <w:rsid w:val="326C3B92"/>
    <w:rsid w:val="32963820"/>
    <w:rsid w:val="32D47F9A"/>
    <w:rsid w:val="32E528C0"/>
    <w:rsid w:val="32EE18DB"/>
    <w:rsid w:val="3327062C"/>
    <w:rsid w:val="333B290A"/>
    <w:rsid w:val="3385463D"/>
    <w:rsid w:val="33854A6F"/>
    <w:rsid w:val="33A5581F"/>
    <w:rsid w:val="35636CD1"/>
    <w:rsid w:val="35831E3A"/>
    <w:rsid w:val="35D95EFE"/>
    <w:rsid w:val="37007A9E"/>
    <w:rsid w:val="377E4FAF"/>
    <w:rsid w:val="37F50CFA"/>
    <w:rsid w:val="389E6394"/>
    <w:rsid w:val="396B3751"/>
    <w:rsid w:val="39B21674"/>
    <w:rsid w:val="3A2666EE"/>
    <w:rsid w:val="3A542684"/>
    <w:rsid w:val="3A672A3B"/>
    <w:rsid w:val="3A796F04"/>
    <w:rsid w:val="3A8804BC"/>
    <w:rsid w:val="3A9474A1"/>
    <w:rsid w:val="3A9E14C4"/>
    <w:rsid w:val="3AAD7284"/>
    <w:rsid w:val="3AD44EE6"/>
    <w:rsid w:val="3C17152E"/>
    <w:rsid w:val="3C644102"/>
    <w:rsid w:val="3CAC068B"/>
    <w:rsid w:val="3CAF79B9"/>
    <w:rsid w:val="3CC1446C"/>
    <w:rsid w:val="3CD43D23"/>
    <w:rsid w:val="3D4B2AE6"/>
    <w:rsid w:val="3D8A1B39"/>
    <w:rsid w:val="3D8C7CFA"/>
    <w:rsid w:val="3E012496"/>
    <w:rsid w:val="3E0F0CD7"/>
    <w:rsid w:val="3E135422"/>
    <w:rsid w:val="3EA92283"/>
    <w:rsid w:val="3F1D32FF"/>
    <w:rsid w:val="3F293803"/>
    <w:rsid w:val="3F5331A1"/>
    <w:rsid w:val="3F6A3766"/>
    <w:rsid w:val="3F95244E"/>
    <w:rsid w:val="3FD57736"/>
    <w:rsid w:val="404D404C"/>
    <w:rsid w:val="4091126C"/>
    <w:rsid w:val="40E207B7"/>
    <w:rsid w:val="40E8432E"/>
    <w:rsid w:val="41C5246F"/>
    <w:rsid w:val="421B2250"/>
    <w:rsid w:val="425F24F7"/>
    <w:rsid w:val="42823C4E"/>
    <w:rsid w:val="42D57A4D"/>
    <w:rsid w:val="43CF0940"/>
    <w:rsid w:val="43ED10CC"/>
    <w:rsid w:val="43FE7CFA"/>
    <w:rsid w:val="44321EB7"/>
    <w:rsid w:val="444C1F91"/>
    <w:rsid w:val="44782D86"/>
    <w:rsid w:val="45362736"/>
    <w:rsid w:val="45F83662"/>
    <w:rsid w:val="46041BE3"/>
    <w:rsid w:val="462735FB"/>
    <w:rsid w:val="463748B8"/>
    <w:rsid w:val="464B6860"/>
    <w:rsid w:val="46E7717F"/>
    <w:rsid w:val="48BA1ACB"/>
    <w:rsid w:val="49242642"/>
    <w:rsid w:val="492E1467"/>
    <w:rsid w:val="49342552"/>
    <w:rsid w:val="49502C9D"/>
    <w:rsid w:val="49681EC0"/>
    <w:rsid w:val="4A3022B9"/>
    <w:rsid w:val="4A470DF5"/>
    <w:rsid w:val="4AD02DBC"/>
    <w:rsid w:val="4B4439C2"/>
    <w:rsid w:val="4BB65568"/>
    <w:rsid w:val="4BCF50B7"/>
    <w:rsid w:val="4C7C02FE"/>
    <w:rsid w:val="4C8F2164"/>
    <w:rsid w:val="4C9E4055"/>
    <w:rsid w:val="4CC70E29"/>
    <w:rsid w:val="4CDA17B3"/>
    <w:rsid w:val="4D3A71AE"/>
    <w:rsid w:val="4D81154F"/>
    <w:rsid w:val="4DB50BA7"/>
    <w:rsid w:val="4DE722B9"/>
    <w:rsid w:val="4E4A238E"/>
    <w:rsid w:val="4E5943B7"/>
    <w:rsid w:val="4E5E4729"/>
    <w:rsid w:val="4F5C6639"/>
    <w:rsid w:val="4FA05F31"/>
    <w:rsid w:val="4FAB3498"/>
    <w:rsid w:val="500330EC"/>
    <w:rsid w:val="501D386E"/>
    <w:rsid w:val="50915F48"/>
    <w:rsid w:val="50AC6191"/>
    <w:rsid w:val="50C47DD0"/>
    <w:rsid w:val="50E2658E"/>
    <w:rsid w:val="50EA500B"/>
    <w:rsid w:val="51D52676"/>
    <w:rsid w:val="51F25F54"/>
    <w:rsid w:val="521D4073"/>
    <w:rsid w:val="522C06EF"/>
    <w:rsid w:val="525A77BB"/>
    <w:rsid w:val="52972F71"/>
    <w:rsid w:val="529B502E"/>
    <w:rsid w:val="533D270D"/>
    <w:rsid w:val="54492CE6"/>
    <w:rsid w:val="551A1EC8"/>
    <w:rsid w:val="552D746E"/>
    <w:rsid w:val="553C395C"/>
    <w:rsid w:val="56292132"/>
    <w:rsid w:val="564C5F69"/>
    <w:rsid w:val="569B00EE"/>
    <w:rsid w:val="56D562CF"/>
    <w:rsid w:val="56E83D9B"/>
    <w:rsid w:val="574511ED"/>
    <w:rsid w:val="58237B89"/>
    <w:rsid w:val="58305A91"/>
    <w:rsid w:val="585D70BF"/>
    <w:rsid w:val="59035A99"/>
    <w:rsid w:val="593054FB"/>
    <w:rsid w:val="5971064D"/>
    <w:rsid w:val="5A265474"/>
    <w:rsid w:val="5A2A2DF3"/>
    <w:rsid w:val="5B174492"/>
    <w:rsid w:val="5B953367"/>
    <w:rsid w:val="5C050F4B"/>
    <w:rsid w:val="5C4337BB"/>
    <w:rsid w:val="5C5039D3"/>
    <w:rsid w:val="5D28108C"/>
    <w:rsid w:val="5D3E547C"/>
    <w:rsid w:val="5D5E4DB7"/>
    <w:rsid w:val="5E2B7481"/>
    <w:rsid w:val="5EA85B32"/>
    <w:rsid w:val="5EAA36C3"/>
    <w:rsid w:val="5EAA7B88"/>
    <w:rsid w:val="5EB862DC"/>
    <w:rsid w:val="5EEA2697"/>
    <w:rsid w:val="5F1065ED"/>
    <w:rsid w:val="5F3A538F"/>
    <w:rsid w:val="601D3857"/>
    <w:rsid w:val="603E2C7E"/>
    <w:rsid w:val="604D14F0"/>
    <w:rsid w:val="60B821C4"/>
    <w:rsid w:val="60FE08AF"/>
    <w:rsid w:val="61106C5F"/>
    <w:rsid w:val="61254D43"/>
    <w:rsid w:val="612956DC"/>
    <w:rsid w:val="61C20E62"/>
    <w:rsid w:val="62A32CCC"/>
    <w:rsid w:val="62B70108"/>
    <w:rsid w:val="63CB314A"/>
    <w:rsid w:val="63D32857"/>
    <w:rsid w:val="646A497D"/>
    <w:rsid w:val="65963322"/>
    <w:rsid w:val="65FA1EB8"/>
    <w:rsid w:val="66443C77"/>
    <w:rsid w:val="66576AAB"/>
    <w:rsid w:val="66D93700"/>
    <w:rsid w:val="679434E7"/>
    <w:rsid w:val="67AA57BD"/>
    <w:rsid w:val="681E586F"/>
    <w:rsid w:val="685735B2"/>
    <w:rsid w:val="69362744"/>
    <w:rsid w:val="69E708E1"/>
    <w:rsid w:val="6A144B67"/>
    <w:rsid w:val="6A445335"/>
    <w:rsid w:val="6A9E4FC4"/>
    <w:rsid w:val="6AEB1816"/>
    <w:rsid w:val="6B1673E4"/>
    <w:rsid w:val="6BF12A83"/>
    <w:rsid w:val="6C5755A2"/>
    <w:rsid w:val="6CD15CA3"/>
    <w:rsid w:val="6CD87C24"/>
    <w:rsid w:val="6CEE78CC"/>
    <w:rsid w:val="6D7631C8"/>
    <w:rsid w:val="6DA81E2E"/>
    <w:rsid w:val="6DC55E69"/>
    <w:rsid w:val="6DC85CA0"/>
    <w:rsid w:val="6DEE71E8"/>
    <w:rsid w:val="6E361438"/>
    <w:rsid w:val="6E7E4132"/>
    <w:rsid w:val="6EF92E2B"/>
    <w:rsid w:val="6F23180F"/>
    <w:rsid w:val="6F745FA9"/>
    <w:rsid w:val="6FB734D8"/>
    <w:rsid w:val="6FB81FE1"/>
    <w:rsid w:val="6FE32EFA"/>
    <w:rsid w:val="707F4741"/>
    <w:rsid w:val="71783274"/>
    <w:rsid w:val="71C32D33"/>
    <w:rsid w:val="72B839D1"/>
    <w:rsid w:val="7305587C"/>
    <w:rsid w:val="73550AF9"/>
    <w:rsid w:val="736503F9"/>
    <w:rsid w:val="737427E7"/>
    <w:rsid w:val="73B40A19"/>
    <w:rsid w:val="73CA7532"/>
    <w:rsid w:val="73F27BAF"/>
    <w:rsid w:val="74D3184E"/>
    <w:rsid w:val="74D45832"/>
    <w:rsid w:val="74DF66EF"/>
    <w:rsid w:val="7751222D"/>
    <w:rsid w:val="77B342CA"/>
    <w:rsid w:val="786129B8"/>
    <w:rsid w:val="78961719"/>
    <w:rsid w:val="79BC3093"/>
    <w:rsid w:val="7A440A39"/>
    <w:rsid w:val="7A95520D"/>
    <w:rsid w:val="7A97083D"/>
    <w:rsid w:val="7AE937B7"/>
    <w:rsid w:val="7B31548C"/>
    <w:rsid w:val="7C46731F"/>
    <w:rsid w:val="7C5331B5"/>
    <w:rsid w:val="7C833431"/>
    <w:rsid w:val="7C8861BD"/>
    <w:rsid w:val="7CC04CEF"/>
    <w:rsid w:val="7CFC4016"/>
    <w:rsid w:val="7D6F3144"/>
    <w:rsid w:val="7E2949E5"/>
    <w:rsid w:val="7E4B37B3"/>
    <w:rsid w:val="7EC62E85"/>
    <w:rsid w:val="7F39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4">
    <w:name w:val="Normal (Web)"/>
    <w:basedOn w:val="1"/>
    <w:unhideWhenUsed/>
    <w:qFormat/>
    <w:uiPriority w:val="0"/>
    <w:pPr>
      <w:spacing w:before="100" w:beforeAutospacing="1" w:after="100" w:afterAutospacing="1"/>
    </w:pPr>
  </w:style>
  <w:style w:type="character" w:styleId="6">
    <w:name w:val="Strong"/>
    <w:qFormat/>
    <w:uiPriority w:val="0"/>
    <w:rPr>
      <w:b/>
    </w:rPr>
  </w:style>
  <w:style w:type="paragraph" w:customStyle="1" w:styleId="8">
    <w:name w:val="列出段落1"/>
    <w:basedOn w:val="1"/>
    <w:qFormat/>
    <w:uiPriority w:val="99"/>
    <w:pPr>
      <w:ind w:firstLine="420" w:firstLineChars="200"/>
    </w:pPr>
    <w:rPr>
      <w:rFonts w:hint="default"/>
    </w:rPr>
  </w:style>
  <w:style w:type="paragraph" w:customStyle="1" w:styleId="9">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0">
    <w:name w:val="21"/>
    <w:qFormat/>
    <w:uiPriority w:val="0"/>
    <w:rPr>
      <w:rFonts w:hint="default" w:ascii="Wingdings" w:hAnsi="Wingdings" w:cs="Wingdings"/>
      <w:b/>
      <w:bCs/>
    </w:rPr>
  </w:style>
  <w:style w:type="paragraph" w:customStyle="1" w:styleId="11">
    <w:name w:val="列出段落2"/>
    <w:qFormat/>
    <w:uiPriority w:val="99"/>
    <w:pPr>
      <w:ind w:firstLine="420" w:firstLineChars="200"/>
    </w:pPr>
    <w:rPr>
      <w:rFonts w:ascii="宋体" w:hAnsi="宋体" w:eastAsia="宋体" w:cs="Times New Roman"/>
      <w:sz w:val="24"/>
      <w:szCs w:val="24"/>
      <w:lang w:val="en-US" w:eastAsia="zh-CN" w:bidi="ar-SA"/>
    </w:rPr>
  </w:style>
  <w:style w:type="paragraph" w:customStyle="1" w:styleId="12">
    <w:name w:val="Normal (Web)"/>
    <w:basedOn w:val="1"/>
    <w:qFormat/>
    <w:uiPriority w:val="0"/>
    <w:pPr>
      <w:spacing w:before="100" w:beforeLines="0" w:beforeAutospacing="1" w:after="100" w:afterLines="0" w:afterAutospacing="1"/>
    </w:pPr>
  </w:style>
  <w:style w:type="paragraph" w:customStyle="1" w:styleId="13">
    <w:name w:val="p0"/>
    <w:basedOn w:val="1"/>
    <w:qFormat/>
    <w:uiPriority w:val="0"/>
    <w:pPr>
      <w:widowControl/>
      <w:jc w:val="left"/>
    </w:pPr>
    <w:rPr>
      <w:kern w:val="0"/>
      <w:sz w:val="20"/>
    </w:r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3529</Words>
  <Characters>4080</Characters>
  <Lines>0</Lines>
  <Paragraphs>0</Paragraphs>
  <TotalTime>0</TotalTime>
  <ScaleCrop>false</ScaleCrop>
  <LinksUpToDate>false</LinksUpToDate>
  <CharactersWithSpaces>4086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2024-09-13T07:00:00Z</dcterms:created>
  <dc:creator>hp99</dc:creator>
  <cp:lastModifiedBy>boicevecn</cp:lastModifiedBy>
  <dcterms:modified xsi:type="dcterms:W3CDTF">2025-10-30T01:29:56Z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AE80700B7958482DB7E85C44E5F29A6A_13</vt:lpwstr>
  </property>
  <property fmtid="{D5CDD505-2E9C-101B-9397-08002B2CF9AE}" pid="4" name="KSOTemplateDocerSaveRecord">
    <vt:lpwstr>eyJoZGlkIjoiMjBjYzFhM2NmZGIzYzlkOTk0ZTg3MGI3ZTExMWZiYWYifQ==</vt:lpwstr>
  </property>
</Properties>
</file>