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ind w:firstLine="640" w:firstLineChars="200"/>
        <w:jc w:val="center"/>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lang w:eastAsia="zh-CN"/>
        </w:rPr>
        <w:t>救灾领域</w:t>
      </w:r>
      <w:r>
        <w:rPr>
          <w:rFonts w:hint="eastAsia" w:ascii="方正黑体_GBK" w:hAnsi="方正黑体_GBK" w:eastAsia="方正黑体_GBK" w:cs="方正黑体_GBK"/>
          <w:sz w:val="32"/>
          <w:szCs w:val="32"/>
        </w:rPr>
        <w:t>基层政务公开标准目录</w:t>
      </w:r>
      <w:r>
        <w:rPr>
          <w:rFonts w:hint="eastAsia" w:ascii="方正黑体_GBK" w:hAnsi="方正黑体_GBK" w:eastAsia="方正黑体_GBK" w:cs="方正黑体_GBK"/>
          <w:sz w:val="32"/>
          <w:szCs w:val="32"/>
          <w:lang w:eastAsia="zh-CN"/>
        </w:rPr>
        <w:t>（202</w:t>
      </w:r>
      <w:r>
        <w:rPr>
          <w:rFonts w:hint="eastAsia" w:ascii="方正黑体_GBK" w:hAnsi="方正黑体_GBK" w:eastAsia="方正黑体_GBK" w:cs="方正黑体_GBK"/>
          <w:sz w:val="32"/>
          <w:szCs w:val="32"/>
          <w:lang w:val="en-US" w:eastAsia="zh-CN"/>
        </w:rPr>
        <w:t>5</w:t>
      </w:r>
      <w:bookmarkStart w:id="2" w:name="_GoBack"/>
      <w:bookmarkEnd w:id="2"/>
      <w:r>
        <w:rPr>
          <w:rFonts w:hint="eastAsia" w:ascii="方正黑体_GBK" w:hAnsi="方正黑体_GBK" w:eastAsia="方正黑体_GBK" w:cs="方正黑体_GBK"/>
          <w:sz w:val="32"/>
          <w:szCs w:val="32"/>
          <w:lang w:eastAsia="zh-CN"/>
        </w:rPr>
        <w:t>年版）</w:t>
      </w:r>
    </w:p>
    <w:tbl>
      <w:tblPr>
        <w:tblStyle w:val="6"/>
        <w:tblW w:w="16057" w:type="dxa"/>
        <w:jc w:val="center"/>
        <w:tblLayout w:type="fixed"/>
        <w:tblCellMar>
          <w:top w:w="0" w:type="dxa"/>
          <w:left w:w="0" w:type="dxa"/>
          <w:bottom w:w="0" w:type="dxa"/>
          <w:right w:w="0" w:type="dxa"/>
        </w:tblCellMar>
      </w:tblPr>
      <w:tblGrid>
        <w:gridCol w:w="361"/>
        <w:gridCol w:w="454"/>
        <w:gridCol w:w="790"/>
        <w:gridCol w:w="1"/>
        <w:gridCol w:w="2328"/>
        <w:gridCol w:w="1"/>
        <w:gridCol w:w="3128"/>
        <w:gridCol w:w="1"/>
        <w:gridCol w:w="1262"/>
        <w:gridCol w:w="1"/>
        <w:gridCol w:w="1101"/>
        <w:gridCol w:w="1"/>
        <w:gridCol w:w="3657"/>
        <w:gridCol w:w="1"/>
        <w:gridCol w:w="322"/>
        <w:gridCol w:w="353"/>
        <w:gridCol w:w="1"/>
        <w:gridCol w:w="293"/>
        <w:gridCol w:w="323"/>
        <w:gridCol w:w="1"/>
        <w:gridCol w:w="249"/>
        <w:gridCol w:w="306"/>
        <w:gridCol w:w="1122"/>
      </w:tblGrid>
      <w:tr>
        <w:tblPrEx>
          <w:tblCellMar>
            <w:top w:w="0" w:type="dxa"/>
            <w:left w:w="0" w:type="dxa"/>
            <w:bottom w:w="0" w:type="dxa"/>
            <w:right w:w="0" w:type="dxa"/>
          </w:tblCellMar>
        </w:tblPrEx>
        <w:trPr>
          <w:trHeight w:val="395" w:hRule="atLeast"/>
          <w:jc w:val="center"/>
        </w:trPr>
        <w:tc>
          <w:tcPr>
            <w:tcW w:w="361"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序号</w:t>
            </w:r>
          </w:p>
        </w:tc>
        <w:tc>
          <w:tcPr>
            <w:tcW w:w="1245"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公开事项</w:t>
            </w:r>
          </w:p>
        </w:tc>
        <w:tc>
          <w:tcPr>
            <w:tcW w:w="2329" w:type="dxa"/>
            <w:gridSpan w:val="2"/>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公开内容</w:t>
            </w:r>
          </w:p>
        </w:tc>
        <w:tc>
          <w:tcPr>
            <w:tcW w:w="3129" w:type="dxa"/>
            <w:gridSpan w:val="2"/>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公开依据</w:t>
            </w:r>
          </w:p>
        </w:tc>
        <w:tc>
          <w:tcPr>
            <w:tcW w:w="1263" w:type="dxa"/>
            <w:gridSpan w:val="2"/>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公开时限</w:t>
            </w:r>
          </w:p>
        </w:tc>
        <w:tc>
          <w:tcPr>
            <w:tcW w:w="1102" w:type="dxa"/>
            <w:gridSpan w:val="2"/>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公开主体</w:t>
            </w:r>
          </w:p>
        </w:tc>
        <w:tc>
          <w:tcPr>
            <w:tcW w:w="3658" w:type="dxa"/>
            <w:gridSpan w:val="2"/>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公开渠道和载体</w:t>
            </w:r>
          </w:p>
        </w:tc>
        <w:tc>
          <w:tcPr>
            <w:tcW w:w="676"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公开</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对象</w:t>
            </w:r>
          </w:p>
        </w:tc>
        <w:tc>
          <w:tcPr>
            <w:tcW w:w="617"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公开方式</w:t>
            </w:r>
          </w:p>
        </w:tc>
        <w:tc>
          <w:tcPr>
            <w:tcW w:w="555" w:type="dxa"/>
            <w:gridSpan w:val="2"/>
            <w:tcBorders>
              <w:top w:val="single" w:color="000000" w:sz="4" w:space="0"/>
              <w:left w:val="single" w:color="auto"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公开层级</w:t>
            </w:r>
          </w:p>
        </w:tc>
        <w:tc>
          <w:tcPr>
            <w:tcW w:w="1122" w:type="dxa"/>
            <w:vMerge w:val="restart"/>
            <w:tcBorders>
              <w:top w:val="single" w:color="000000" w:sz="4" w:space="0"/>
              <w:left w:val="single" w:color="auto"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lang w:eastAsia="zh-CN"/>
              </w:rPr>
            </w:pPr>
            <w:r>
              <w:rPr>
                <w:rFonts w:hint="eastAsia" w:ascii="方正黑体_GBK" w:hAnsi="方正黑体_GBK" w:eastAsia="方正黑体_GBK" w:cs="方正黑体_GBK"/>
                <w:kern w:val="0"/>
                <w:sz w:val="21"/>
                <w:szCs w:val="21"/>
                <w:lang w:eastAsia="zh-CN"/>
              </w:rPr>
              <w:t>责任科室</w:t>
            </w:r>
          </w:p>
        </w:tc>
      </w:tr>
      <w:tr>
        <w:tblPrEx>
          <w:tblCellMar>
            <w:top w:w="0" w:type="dxa"/>
            <w:left w:w="0" w:type="dxa"/>
            <w:bottom w:w="0" w:type="dxa"/>
            <w:right w:w="0" w:type="dxa"/>
          </w:tblCellMar>
        </w:tblPrEx>
        <w:trPr>
          <w:trHeight w:val="594" w:hRule="atLeast"/>
          <w:jc w:val="center"/>
        </w:trPr>
        <w:tc>
          <w:tcPr>
            <w:tcW w:w="361"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p>
        </w:tc>
        <w:tc>
          <w:tcPr>
            <w:tcW w:w="45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一级事项</w:t>
            </w: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二级</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事项</w:t>
            </w:r>
          </w:p>
        </w:tc>
        <w:tc>
          <w:tcPr>
            <w:tcW w:w="2329" w:type="dxa"/>
            <w:gridSpan w:val="2"/>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p>
        </w:tc>
        <w:tc>
          <w:tcPr>
            <w:tcW w:w="3129" w:type="dxa"/>
            <w:gridSpan w:val="2"/>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p>
        </w:tc>
        <w:tc>
          <w:tcPr>
            <w:tcW w:w="1263" w:type="dxa"/>
            <w:gridSpan w:val="2"/>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p>
        </w:tc>
        <w:tc>
          <w:tcPr>
            <w:tcW w:w="1102" w:type="dxa"/>
            <w:gridSpan w:val="2"/>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p>
        </w:tc>
        <w:tc>
          <w:tcPr>
            <w:tcW w:w="3658" w:type="dxa"/>
            <w:gridSpan w:val="2"/>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全社会</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特定群体</w:t>
            </w: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主动</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依申请</w:t>
            </w: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rPr>
            </w:pPr>
            <w:r>
              <w:rPr>
                <w:rFonts w:hint="eastAsia" w:ascii="方正黑体_GBK" w:hAnsi="方正黑体_GBK" w:eastAsia="方正黑体_GBK" w:cs="方正黑体_GBK"/>
                <w:kern w:val="0"/>
                <w:sz w:val="21"/>
                <w:szCs w:val="21"/>
              </w:rPr>
              <w:t>区级</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lang w:eastAsia="zh-CN"/>
              </w:rPr>
            </w:pPr>
            <w:r>
              <w:rPr>
                <w:rFonts w:hint="eastAsia" w:ascii="方正黑体_GBK" w:hAnsi="方正黑体_GBK" w:eastAsia="方正黑体_GBK" w:cs="方正黑体_GBK"/>
                <w:kern w:val="0"/>
                <w:sz w:val="21"/>
                <w:szCs w:val="21"/>
              </w:rPr>
              <w:t>镇街</w:t>
            </w:r>
            <w:r>
              <w:rPr>
                <w:rFonts w:hint="eastAsia" w:ascii="方正黑体_GBK" w:hAnsi="方正黑体_GBK" w:eastAsia="方正黑体_GBK" w:cs="方正黑体_GBK"/>
                <w:kern w:val="0"/>
                <w:sz w:val="21"/>
                <w:szCs w:val="21"/>
                <w:lang w:eastAsia="zh-CN"/>
              </w:rPr>
              <w:t>级</w:t>
            </w:r>
          </w:p>
        </w:tc>
        <w:tc>
          <w:tcPr>
            <w:tcW w:w="1122" w:type="dxa"/>
            <w:vMerge w:val="continue"/>
            <w:tcBorders>
              <w:left w:val="single" w:color="auto"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方正黑体_GBK" w:hAnsi="方正黑体_GBK" w:eastAsia="方正黑体_GBK" w:cs="方正黑体_GBK"/>
                <w:kern w:val="0"/>
                <w:sz w:val="21"/>
                <w:szCs w:val="21"/>
                <w:lang w:eastAsia="zh-CN"/>
              </w:rPr>
            </w:pPr>
          </w:p>
        </w:tc>
      </w:tr>
      <w:tr>
        <w:tblPrEx>
          <w:tblCellMar>
            <w:top w:w="0" w:type="dxa"/>
            <w:left w:w="0" w:type="dxa"/>
            <w:bottom w:w="0" w:type="dxa"/>
            <w:right w:w="0" w:type="dxa"/>
          </w:tblCellMar>
        </w:tblPrEx>
        <w:trPr>
          <w:trHeight w:val="653"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w:t>
            </w:r>
          </w:p>
        </w:tc>
        <w:tc>
          <w:tcPr>
            <w:tcW w:w="454"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政策文件</w:t>
            </w: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法律法规</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与救灾有关的法律、法规</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《中华人民共和国政府信息公开条例》(国务院令第711号）</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信息形成或变更之日起20个工作日内</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区应急局</w:t>
            </w:r>
          </w:p>
          <w:p>
            <w:pPr>
              <w:pStyle w:val="2"/>
              <w:jc w:val="center"/>
              <w:rPr>
                <w:rFonts w:hint="eastAsia"/>
                <w:lang w:eastAsia="zh-CN"/>
              </w:rPr>
            </w:pPr>
            <w:r>
              <w:rPr>
                <w:rFonts w:hint="eastAsia" w:asciiTheme="minorHAnsi" w:hAnsiTheme="minorHAnsi" w:eastAsiaTheme="minorEastAsia" w:cstheme="minorBidi"/>
                <w:color w:val="auto"/>
                <w:kern w:val="2"/>
                <w:sz w:val="21"/>
                <w:szCs w:val="24"/>
                <w:lang w:val="en-US" w:eastAsia="zh-CN" w:bidi="ar-SA"/>
              </w:rPr>
              <w:t>各镇街</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■微信公众号 □发布会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救灾科</w:t>
            </w:r>
          </w:p>
          <w:p>
            <w:pPr>
              <w:pStyle w:val="2"/>
              <w:jc w:val="center"/>
              <w:rPr>
                <w:rFonts w:hint="eastAsia"/>
                <w:lang w:eastAsia="zh-CN"/>
              </w:rPr>
            </w:pPr>
            <w:r>
              <w:rPr>
                <w:rFonts w:hint="eastAsia" w:asciiTheme="minorHAnsi" w:hAnsiTheme="minorHAnsi" w:eastAsiaTheme="minorEastAsia" w:cstheme="minorBidi"/>
                <w:color w:val="auto"/>
                <w:kern w:val="2"/>
                <w:sz w:val="21"/>
                <w:szCs w:val="24"/>
                <w:lang w:val="en-US" w:eastAsia="zh-CN" w:bidi="ar-SA"/>
              </w:rPr>
              <w:t>减灾科</w:t>
            </w:r>
          </w:p>
        </w:tc>
      </w:tr>
      <w:tr>
        <w:tblPrEx>
          <w:tblCellMar>
            <w:top w:w="0" w:type="dxa"/>
            <w:left w:w="0" w:type="dxa"/>
            <w:bottom w:w="0" w:type="dxa"/>
            <w:right w:w="0" w:type="dxa"/>
          </w:tblCellMar>
        </w:tblPrEx>
        <w:trPr>
          <w:trHeight w:val="2187"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2</w:t>
            </w:r>
          </w:p>
        </w:tc>
        <w:tc>
          <w:tcPr>
            <w:tcW w:w="454"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部门和地方规章</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与救灾有关的部门和地方规章、规范性文件</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《中华人民共和国政府信息公开条例》(国务院令第711号）</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信息形成或变更之日起20个工作日内</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区应急局</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各镇街</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 xml:space="preserve">■微信公众号 </w:t>
            </w:r>
            <w:r>
              <w:rPr>
                <w:rFonts w:hint="eastAsia" w:asciiTheme="minorEastAsia" w:hAnsiTheme="minorEastAsia" w:cstheme="minorEastAsia"/>
                <w:color w:val="000000"/>
                <w:kern w:val="0"/>
                <w:sz w:val="21"/>
                <w:szCs w:val="21"/>
                <w:lang w:eastAsia="zh-CN"/>
              </w:rPr>
              <w:t>☑</w:t>
            </w:r>
            <w:r>
              <w:rPr>
                <w:rFonts w:hint="eastAsia" w:asciiTheme="minorEastAsia" w:hAnsiTheme="minorEastAsia" w:eastAsiaTheme="minorEastAsia" w:cstheme="minorEastAsia"/>
                <w:color w:val="000000"/>
                <w:kern w:val="0"/>
                <w:sz w:val="21"/>
                <w:szCs w:val="21"/>
              </w:rPr>
              <w:t>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救灾科</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减灾科</w:t>
            </w:r>
          </w:p>
        </w:tc>
      </w:tr>
      <w:tr>
        <w:tblPrEx>
          <w:tblCellMar>
            <w:top w:w="0" w:type="dxa"/>
            <w:left w:w="0" w:type="dxa"/>
            <w:bottom w:w="0" w:type="dxa"/>
            <w:right w:w="0" w:type="dxa"/>
          </w:tblCellMar>
        </w:tblPrEx>
        <w:trPr>
          <w:trHeight w:val="298"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3</w:t>
            </w:r>
          </w:p>
        </w:tc>
        <w:tc>
          <w:tcPr>
            <w:tcW w:w="454"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政策文件</w:t>
            </w: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其他政策文件</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其他可以公开的与救灾有关的政策文件，包括改革方案、发展规划、专项规划、工作计划等</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《中华人民共和国政府信息公开条例》(国务院令第711号）</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信息形成或变更之日起20个工作日内</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区应急局</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各镇街</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■微信公众号 □发布会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救灾科</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减灾科</w:t>
            </w:r>
          </w:p>
        </w:tc>
      </w:tr>
      <w:tr>
        <w:tblPrEx>
          <w:tblCellMar>
            <w:top w:w="0" w:type="dxa"/>
            <w:left w:w="0" w:type="dxa"/>
            <w:bottom w:w="0" w:type="dxa"/>
            <w:right w:w="0" w:type="dxa"/>
          </w:tblCellMar>
        </w:tblPrEx>
        <w:trPr>
          <w:trHeight w:val="378"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4</w:t>
            </w:r>
          </w:p>
        </w:tc>
        <w:tc>
          <w:tcPr>
            <w:tcW w:w="454"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标准</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救灾领域有关的国家标准、行业标准、地方标准等</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《中华人民共和国政府信息公开条例》(国务院令第711号）</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信息形成或变更之日起20个工作日内</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lang w:eastAsia="zh-CN"/>
              </w:rPr>
            </w:pPr>
            <w:r>
              <w:rPr>
                <w:rFonts w:hint="eastAsia" w:asciiTheme="minorEastAsia" w:hAnsiTheme="minorEastAsia" w:eastAsiaTheme="minorEastAsia" w:cstheme="minorEastAsia"/>
                <w:color w:val="000000"/>
                <w:kern w:val="0"/>
                <w:sz w:val="21"/>
                <w:szCs w:val="21"/>
              </w:rPr>
              <w:t>区应急</w:t>
            </w:r>
            <w:r>
              <w:rPr>
                <w:rFonts w:hint="eastAsia" w:asciiTheme="minorEastAsia" w:hAnsiTheme="minorEastAsia" w:cstheme="minorEastAsia"/>
                <w:color w:val="000000"/>
                <w:kern w:val="0"/>
                <w:sz w:val="21"/>
                <w:szCs w:val="21"/>
                <w:lang w:eastAsia="zh-CN"/>
              </w:rPr>
              <w:t>局</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■微信公众号 □发布会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救灾科</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减灾科</w:t>
            </w:r>
          </w:p>
        </w:tc>
      </w:tr>
      <w:tr>
        <w:tblPrEx>
          <w:tblCellMar>
            <w:top w:w="0" w:type="dxa"/>
            <w:left w:w="0" w:type="dxa"/>
            <w:bottom w:w="0" w:type="dxa"/>
            <w:right w:w="0" w:type="dxa"/>
          </w:tblCellMar>
        </w:tblPrEx>
        <w:trPr>
          <w:trHeight w:val="1157"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5</w:t>
            </w:r>
          </w:p>
        </w:tc>
        <w:tc>
          <w:tcPr>
            <w:tcW w:w="454"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重大决策草案</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涉及管理相对人切身利益、需社会广泛知晓的重要改革方案等重大决策，决策前向社会公开决策草案、决策依据</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1.《中华人民共和国政府信息公开条例》(国务院令第711号）；          2.中央办公厅、国务院办公厅《关于全面推进政务公开工作的意见》。</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按进展情况及时公开</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区应急局</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各镇街</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■微信公众号 □发布会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救灾科</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lang w:eastAsia="zh-CN"/>
              </w:rPr>
            </w:pPr>
            <w:r>
              <w:rPr>
                <w:rFonts w:hint="eastAsia" w:asciiTheme="minorHAnsi" w:hAnsiTheme="minorHAnsi" w:eastAsiaTheme="minorEastAsia" w:cstheme="minorBidi"/>
                <w:color w:val="auto"/>
                <w:kern w:val="2"/>
                <w:sz w:val="21"/>
                <w:szCs w:val="24"/>
                <w:lang w:val="en-US" w:eastAsia="zh-CN" w:bidi="ar-SA"/>
              </w:rPr>
              <w:t>减灾科</w:t>
            </w:r>
          </w:p>
        </w:tc>
      </w:tr>
      <w:tr>
        <w:tblPrEx>
          <w:tblCellMar>
            <w:top w:w="0" w:type="dxa"/>
            <w:left w:w="0" w:type="dxa"/>
            <w:bottom w:w="0" w:type="dxa"/>
            <w:right w:w="0" w:type="dxa"/>
          </w:tblCellMar>
        </w:tblPrEx>
        <w:trPr>
          <w:trHeight w:val="382"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6</w:t>
            </w:r>
          </w:p>
        </w:tc>
        <w:tc>
          <w:tcPr>
            <w:tcW w:w="454"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政策文件</w:t>
            </w: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重大政策解读及回应</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1.有关重大政策的解读及回应；                       2.相关热点问题的解读及回应。</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1《中华人民共和国政府信息公开条例》(国务院令第711号）；            2.中央办公厅、国务院办公厅《关于全面推进政务公开工作的意见》；          3.《国务院办公厅关于在政务公开工作中进一步做好政务舆情回应的通知》（国办发〔2016〕61号）。</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重大决策作出后及时公开</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区应急局</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各镇街</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■微信公众号 □发布会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救灾科</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减灾科</w:t>
            </w:r>
          </w:p>
        </w:tc>
      </w:tr>
      <w:tr>
        <w:tblPrEx>
          <w:tblCellMar>
            <w:top w:w="0" w:type="dxa"/>
            <w:left w:w="0" w:type="dxa"/>
            <w:bottom w:w="0" w:type="dxa"/>
            <w:right w:w="0" w:type="dxa"/>
          </w:tblCellMar>
        </w:tblPrEx>
        <w:trPr>
          <w:trHeight w:val="1307"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7</w:t>
            </w:r>
          </w:p>
        </w:tc>
        <w:tc>
          <w:tcPr>
            <w:tcW w:w="454"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重要会议</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以会议讨论作出重要改革方案等重大决策时，经党组研究认为有必要公开讨论决策过程的会议</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1.《中华人民共和国政府信息公开条例》(国务院令第711号）；          2.中央办公厅、国务院办公厅《关于全面推进政务公开工作的意见》。</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提前一周发通知邀请</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区应急局</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各镇街</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□微信公众号 □发布会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lang w:eastAsia="zh-CN"/>
              </w:rPr>
            </w:pPr>
            <w:r>
              <w:rPr>
                <w:rFonts w:hint="eastAsia" w:asciiTheme="minorEastAsia" w:hAnsiTheme="minorEastAsia" w:cstheme="minorEastAsia"/>
                <w:kern w:val="0"/>
                <w:sz w:val="21"/>
                <w:szCs w:val="21"/>
                <w:lang w:eastAsia="zh-CN"/>
              </w:rPr>
              <w:t>局办公室</w:t>
            </w:r>
          </w:p>
        </w:tc>
      </w:tr>
      <w:tr>
        <w:tblPrEx>
          <w:tblCellMar>
            <w:top w:w="0" w:type="dxa"/>
            <w:left w:w="0" w:type="dxa"/>
            <w:bottom w:w="0" w:type="dxa"/>
            <w:right w:w="0" w:type="dxa"/>
          </w:tblCellMar>
        </w:tblPrEx>
        <w:trPr>
          <w:trHeight w:val="666"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8</w:t>
            </w:r>
          </w:p>
        </w:tc>
        <w:tc>
          <w:tcPr>
            <w:tcW w:w="45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政策文件</w:t>
            </w: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征集采纳社会公众意见情况</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重大决策草案公布后征集到的社会公众意见情况、采纳与否情况及理由等</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1.《中华人民共和国政府信息公开条例》(国务院令第711号）；</w:t>
            </w:r>
          </w:p>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2.中央办公厅、国务院办公厅《关于全面推进政务公开工作的意见》。</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征求意见时对外公布的时限内公开</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区应急局</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各镇街</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■微信公众号 □发布会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lang w:eastAsia="zh-CN"/>
              </w:rPr>
            </w:pPr>
            <w:r>
              <w:rPr>
                <w:rFonts w:hint="eastAsia" w:asciiTheme="minorEastAsia" w:hAnsiTheme="minorEastAsia" w:cstheme="minorEastAsia"/>
                <w:kern w:val="0"/>
                <w:sz w:val="21"/>
                <w:szCs w:val="21"/>
                <w:lang w:eastAsia="zh-CN"/>
              </w:rPr>
              <w:t>局办公室</w:t>
            </w:r>
          </w:p>
        </w:tc>
      </w:tr>
      <w:tr>
        <w:tblPrEx>
          <w:tblCellMar>
            <w:top w:w="0" w:type="dxa"/>
            <w:left w:w="0" w:type="dxa"/>
            <w:bottom w:w="0" w:type="dxa"/>
            <w:right w:w="0" w:type="dxa"/>
          </w:tblCellMar>
        </w:tblPrEx>
        <w:trPr>
          <w:trHeight w:val="955"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9</w:t>
            </w:r>
          </w:p>
        </w:tc>
        <w:tc>
          <w:tcPr>
            <w:tcW w:w="45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备灾管理</w:t>
            </w: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综合减灾示范社区</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综合减灾示范社区分布情况（其具体位置、创建时间、创建级别等）</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1.《中华人民共和国政府信息公开条例》(国务院令第711号）；</w:t>
            </w:r>
          </w:p>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2.《社会救助暂行办法》（2014）；           3.《国家综合防灾减灾</w:t>
            </w:r>
            <w:r>
              <w:rPr>
                <w:rFonts w:hint="eastAsia" w:asciiTheme="minorEastAsia" w:hAnsiTheme="minorEastAsia" w:cstheme="minorEastAsia"/>
                <w:kern w:val="0"/>
                <w:sz w:val="21"/>
                <w:szCs w:val="21"/>
                <w:lang w:eastAsia="zh-CN"/>
              </w:rPr>
              <w:t>规划</w:t>
            </w:r>
            <w:r>
              <w:rPr>
                <w:rFonts w:hint="eastAsia" w:asciiTheme="minorEastAsia" w:hAnsiTheme="minorEastAsia" w:eastAsiaTheme="minorEastAsia" w:cstheme="minorEastAsia"/>
                <w:kern w:val="0"/>
                <w:sz w:val="21"/>
                <w:szCs w:val="21"/>
              </w:rPr>
              <w:t>（2016-2020年）》。</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信息形成或变更之日起20个工作日内</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区应急局</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各镇街</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■微信公众号 □发布会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cstheme="minorEastAsia"/>
                <w:kern w:val="0"/>
                <w:sz w:val="21"/>
                <w:szCs w:val="21"/>
                <w:lang w:eastAsia="zh-CN"/>
              </w:rPr>
              <w:t>宣教中心</w:t>
            </w:r>
          </w:p>
        </w:tc>
      </w:tr>
      <w:tr>
        <w:tblPrEx>
          <w:tblCellMar>
            <w:top w:w="0" w:type="dxa"/>
            <w:left w:w="0" w:type="dxa"/>
            <w:bottom w:w="0" w:type="dxa"/>
            <w:right w:w="0" w:type="dxa"/>
          </w:tblCellMar>
        </w:tblPrEx>
        <w:trPr>
          <w:trHeight w:val="570"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10</w:t>
            </w:r>
          </w:p>
        </w:tc>
        <w:tc>
          <w:tcPr>
            <w:tcW w:w="454"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备灾管理</w:t>
            </w: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灾害信息员队伍</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县乡两级灾害信息员工作职责和办公电话</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1.《中华人民共和国政府信息公开条例》(国务院令第711号）；          2.《社会救助暂行办法》（2014）；           3.《国家综合防灾减灾规划（2016-2020年）》。</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信息形成或变更之日起20个工作日内</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lang w:eastAsia="zh-CN"/>
              </w:rPr>
            </w:pPr>
            <w:r>
              <w:rPr>
                <w:rFonts w:hint="eastAsia" w:asciiTheme="minorEastAsia" w:hAnsiTheme="minorEastAsia" w:eastAsiaTheme="minorEastAsia" w:cstheme="minorEastAsia"/>
                <w:color w:val="000000"/>
                <w:kern w:val="0"/>
                <w:sz w:val="21"/>
                <w:szCs w:val="21"/>
              </w:rPr>
              <w:t>区应急</w:t>
            </w:r>
            <w:r>
              <w:rPr>
                <w:rFonts w:hint="eastAsia" w:asciiTheme="minorEastAsia" w:hAnsiTheme="minorEastAsia" w:cstheme="minorEastAsia"/>
                <w:color w:val="000000"/>
                <w:kern w:val="0"/>
                <w:sz w:val="21"/>
                <w:szCs w:val="21"/>
                <w:lang w:eastAsia="zh-CN"/>
              </w:rPr>
              <w:t>局</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■微信公众号 □发布会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lang w:eastAsia="zh-CN"/>
              </w:rPr>
            </w:pPr>
            <w:r>
              <w:rPr>
                <w:rFonts w:hint="eastAsia" w:asciiTheme="minorEastAsia" w:hAnsiTheme="minorEastAsia" w:cstheme="minorEastAsia"/>
                <w:kern w:val="0"/>
                <w:sz w:val="21"/>
                <w:szCs w:val="21"/>
                <w:lang w:eastAsia="zh-CN"/>
              </w:rPr>
              <w:t>救灾科</w:t>
            </w:r>
          </w:p>
        </w:tc>
      </w:tr>
      <w:tr>
        <w:tblPrEx>
          <w:tblCellMar>
            <w:top w:w="0" w:type="dxa"/>
            <w:left w:w="0" w:type="dxa"/>
            <w:bottom w:w="0" w:type="dxa"/>
            <w:right w:w="0" w:type="dxa"/>
          </w:tblCellMar>
        </w:tblPrEx>
        <w:trPr>
          <w:trHeight w:val="2345"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11</w:t>
            </w:r>
          </w:p>
        </w:tc>
        <w:tc>
          <w:tcPr>
            <w:tcW w:w="454"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预警信息</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气象、地震等单位发布的预警信息</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《中华人民共和国政府信息公开条例》(国务院令第711号）</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信息形成或变更之日起20个工作日内</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lang w:eastAsia="zh-CN"/>
              </w:rPr>
            </w:pPr>
            <w:r>
              <w:rPr>
                <w:rFonts w:hint="eastAsia" w:asciiTheme="minorEastAsia" w:hAnsiTheme="minorEastAsia" w:eastAsiaTheme="minorEastAsia" w:cstheme="minorEastAsia"/>
                <w:color w:val="000000"/>
                <w:kern w:val="0"/>
                <w:sz w:val="21"/>
                <w:szCs w:val="21"/>
              </w:rPr>
              <w:t>区应急</w:t>
            </w:r>
            <w:r>
              <w:rPr>
                <w:rFonts w:hint="eastAsia" w:asciiTheme="minorEastAsia" w:hAnsiTheme="minorEastAsia" w:cstheme="minorEastAsia"/>
                <w:color w:val="000000"/>
                <w:kern w:val="0"/>
                <w:sz w:val="21"/>
                <w:szCs w:val="21"/>
                <w:lang w:eastAsia="zh-CN"/>
              </w:rPr>
              <w:t>局</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 xml:space="preserve">■微信公众号 </w:t>
            </w:r>
            <w:bookmarkStart w:id="0" w:name="OLE_LINK1"/>
            <w:bookmarkStart w:id="1" w:name="OLE_LINK2"/>
            <w:r>
              <w:rPr>
                <w:rFonts w:hint="eastAsia" w:asciiTheme="minorEastAsia" w:hAnsiTheme="minorEastAsia" w:eastAsiaTheme="minorEastAsia" w:cstheme="minorEastAsia"/>
                <w:color w:val="000000"/>
                <w:kern w:val="0"/>
                <w:sz w:val="21"/>
                <w:szCs w:val="21"/>
              </w:rPr>
              <w:t>□</w:t>
            </w:r>
            <w:bookmarkEnd w:id="0"/>
            <w:bookmarkEnd w:id="1"/>
            <w:r>
              <w:rPr>
                <w:rFonts w:hint="eastAsia" w:asciiTheme="minorEastAsia" w:hAnsiTheme="minorEastAsia" w:eastAsiaTheme="minorEastAsia" w:cstheme="minorEastAsia"/>
                <w:color w:val="000000"/>
                <w:kern w:val="0"/>
                <w:sz w:val="21"/>
                <w:szCs w:val="21"/>
              </w:rPr>
              <w:t>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lang w:eastAsia="zh-CN"/>
              </w:rPr>
            </w:pPr>
            <w:r>
              <w:rPr>
                <w:rFonts w:hint="eastAsia" w:asciiTheme="minorEastAsia" w:hAnsiTheme="minorEastAsia" w:cstheme="minorEastAsia"/>
                <w:kern w:val="0"/>
                <w:sz w:val="21"/>
                <w:szCs w:val="21"/>
                <w:lang w:eastAsia="zh-CN"/>
              </w:rPr>
              <w:t>应急指挥</w:t>
            </w:r>
            <w:r>
              <w:rPr>
                <w:rFonts w:hint="eastAsia" w:asciiTheme="minorEastAsia" w:hAnsiTheme="minorEastAsia" w:cstheme="minorEastAsia"/>
                <w:kern w:val="0"/>
                <w:sz w:val="21"/>
                <w:szCs w:val="21"/>
                <w:lang w:eastAsia="zh-CN"/>
              </w:rPr>
              <w:br w:type="textWrapping"/>
            </w:r>
            <w:r>
              <w:rPr>
                <w:rFonts w:hint="eastAsia" w:asciiTheme="minorEastAsia" w:hAnsiTheme="minorEastAsia" w:cstheme="minorEastAsia"/>
                <w:kern w:val="0"/>
                <w:sz w:val="21"/>
                <w:szCs w:val="21"/>
                <w:lang w:eastAsia="zh-CN"/>
              </w:rPr>
              <w:t>中心</w:t>
            </w:r>
          </w:p>
        </w:tc>
      </w:tr>
      <w:tr>
        <w:tblPrEx>
          <w:tblCellMar>
            <w:top w:w="0" w:type="dxa"/>
            <w:left w:w="0" w:type="dxa"/>
            <w:bottom w:w="0" w:type="dxa"/>
            <w:right w:w="0" w:type="dxa"/>
          </w:tblCellMar>
        </w:tblPrEx>
        <w:trPr>
          <w:trHeight w:val="55"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12</w:t>
            </w:r>
          </w:p>
        </w:tc>
        <w:tc>
          <w:tcPr>
            <w:tcW w:w="454"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灾后救助</w:t>
            </w: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灾情核定信息</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本行政区域内因自然灾害造成的损失情况（受灾时间、灾害种类、受灾范围、灾害造成的损失等）</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1.《中华人民共和国政府信息公开条例》(国务院令第711号）；          2.《中华人民共和国自然灾害救助条例》（国务院令第577号）。</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信息形成或变更之日起20个工作日内</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lang w:eastAsia="zh-CN"/>
              </w:rPr>
            </w:pPr>
            <w:r>
              <w:rPr>
                <w:rFonts w:hint="eastAsia" w:asciiTheme="minorEastAsia" w:hAnsiTheme="minorEastAsia" w:eastAsiaTheme="minorEastAsia" w:cstheme="minorEastAsia"/>
                <w:color w:val="000000"/>
                <w:kern w:val="0"/>
                <w:sz w:val="21"/>
                <w:szCs w:val="21"/>
              </w:rPr>
              <w:t>区应急</w:t>
            </w:r>
            <w:r>
              <w:rPr>
                <w:rFonts w:hint="eastAsia" w:asciiTheme="minorEastAsia" w:hAnsiTheme="minorEastAsia" w:cstheme="minorEastAsia"/>
                <w:color w:val="000000"/>
                <w:kern w:val="0"/>
                <w:sz w:val="21"/>
                <w:szCs w:val="21"/>
                <w:lang w:eastAsia="zh-CN"/>
              </w:rPr>
              <w:t>局</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■微信公众号 □发布会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lang w:eastAsia="zh-CN"/>
              </w:rPr>
            </w:pPr>
            <w:r>
              <w:rPr>
                <w:rFonts w:hint="eastAsia" w:asciiTheme="minorEastAsia" w:hAnsiTheme="minorEastAsia" w:cstheme="minorEastAsia"/>
                <w:kern w:val="0"/>
                <w:sz w:val="21"/>
                <w:szCs w:val="21"/>
                <w:lang w:eastAsia="zh-CN"/>
              </w:rPr>
              <w:t>救灾科</w:t>
            </w:r>
          </w:p>
        </w:tc>
      </w:tr>
      <w:tr>
        <w:tblPrEx>
          <w:tblCellMar>
            <w:top w:w="0" w:type="dxa"/>
            <w:left w:w="0" w:type="dxa"/>
            <w:bottom w:w="0" w:type="dxa"/>
            <w:right w:w="0" w:type="dxa"/>
          </w:tblCellMar>
        </w:tblPrEx>
        <w:trPr>
          <w:trHeight w:val="667"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13</w:t>
            </w:r>
          </w:p>
        </w:tc>
        <w:tc>
          <w:tcPr>
            <w:tcW w:w="454"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救助审定信息</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自然灾害救助（6类）的救助对象、申报材料、办理程序及时限等</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1.《中华人民共和国政府信息公开条例》(国务院令第711号）；          2.《中华人民共和国自然灾害救助条例》（国务院令第577号）。</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信息形成或变更之日起20个工作日内</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区应急局</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各镇街</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■微信公众号 □发布会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cstheme="minorEastAsia"/>
                <w:kern w:val="0"/>
                <w:sz w:val="21"/>
                <w:szCs w:val="21"/>
                <w:lang w:eastAsia="zh-CN"/>
              </w:rPr>
              <w:t>救灾科</w:t>
            </w:r>
          </w:p>
        </w:tc>
      </w:tr>
      <w:tr>
        <w:tblPrEx>
          <w:tblCellMar>
            <w:top w:w="0" w:type="dxa"/>
            <w:left w:w="0" w:type="dxa"/>
            <w:bottom w:w="0" w:type="dxa"/>
            <w:right w:w="0" w:type="dxa"/>
          </w:tblCellMar>
        </w:tblPrEx>
        <w:trPr>
          <w:trHeight w:val="378"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14</w:t>
            </w:r>
          </w:p>
        </w:tc>
        <w:tc>
          <w:tcPr>
            <w:tcW w:w="454"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灾害救助</w:t>
            </w: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应急管理部门审批</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救助款物通知及划拨情况</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1.《中华人民共和国政府信息公开条例》(国务院令第711号）；          2.《中华人民共和国自然灾害救助条例》（国务院令第577号）。</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信息形成或变更之日起20个工作日内</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区应急局</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各镇街</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■微信公众号 □发布会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cstheme="minorEastAsia"/>
                <w:kern w:val="0"/>
                <w:sz w:val="21"/>
                <w:szCs w:val="21"/>
                <w:lang w:eastAsia="zh-CN"/>
              </w:rPr>
              <w:t>救灾科</w:t>
            </w:r>
          </w:p>
        </w:tc>
      </w:tr>
      <w:tr>
        <w:tblPrEx>
          <w:tblCellMar>
            <w:top w:w="0" w:type="dxa"/>
            <w:left w:w="0" w:type="dxa"/>
            <w:bottom w:w="0" w:type="dxa"/>
            <w:right w:w="0" w:type="dxa"/>
          </w:tblCellMar>
        </w:tblPrEx>
        <w:trPr>
          <w:trHeight w:val="2235"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15</w:t>
            </w:r>
          </w:p>
        </w:tc>
        <w:tc>
          <w:tcPr>
            <w:tcW w:w="454"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因灾过渡期生活救助</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1.因灾过渡期生活救助标准、过渡期生活救助对象评议结果公示（灾民姓名、受灾情况、拟救助金额、监督举报电话）；                                   2.过渡期生活救助对象确定（灾民姓名、受灾情况、救助金额、监督举报电话)。</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1.《中华人民共和国政府信息公开条例》(国务院令第711号）；          2.《中华人民共和国自然灾害救助条例》（国务院令第577号）。</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信息形成或变更之日起20个工作日内</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区应急局</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各镇街</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■微信公众号 □发布会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cstheme="minorEastAsia"/>
                <w:kern w:val="0"/>
                <w:sz w:val="21"/>
                <w:szCs w:val="21"/>
                <w:lang w:eastAsia="zh-CN"/>
              </w:rPr>
              <w:t>救灾科</w:t>
            </w:r>
          </w:p>
        </w:tc>
      </w:tr>
      <w:tr>
        <w:tblPrEx>
          <w:tblCellMar>
            <w:top w:w="0" w:type="dxa"/>
            <w:left w:w="0" w:type="dxa"/>
            <w:bottom w:w="0" w:type="dxa"/>
            <w:right w:w="0" w:type="dxa"/>
          </w:tblCellMar>
        </w:tblPrEx>
        <w:trPr>
          <w:trHeight w:val="1248"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16</w:t>
            </w:r>
          </w:p>
        </w:tc>
        <w:tc>
          <w:tcPr>
            <w:tcW w:w="45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灾后救助</w:t>
            </w: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居民住房恢复重建救助</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1.居民住房恢复重建救助标准（居民因灾倒房、损房恢复重建具体救助标准）；                            2.居民住房恢复重建救助对象评议结果公示（公开灾民姓名、受灾情况、拟救助标准、监督举报电话）。</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1.《中华人民共和国政府信息公开条例》(国务院令第711号）；          2.《中华人民共和国自然灾害救助条例》（国务院令第577号）。</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信息形成或变更之日起20个工作日内</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区应急局</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各镇街</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■微信公众号 □发布会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cstheme="minorEastAsia"/>
                <w:kern w:val="0"/>
                <w:sz w:val="21"/>
                <w:szCs w:val="21"/>
                <w:lang w:eastAsia="zh-CN"/>
              </w:rPr>
              <w:t>救灾科</w:t>
            </w:r>
          </w:p>
        </w:tc>
      </w:tr>
      <w:tr>
        <w:tblPrEx>
          <w:tblCellMar>
            <w:top w:w="0" w:type="dxa"/>
            <w:left w:w="0" w:type="dxa"/>
            <w:bottom w:w="0" w:type="dxa"/>
            <w:right w:w="0" w:type="dxa"/>
          </w:tblCellMar>
        </w:tblPrEx>
        <w:trPr>
          <w:trHeight w:val="378"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17</w:t>
            </w:r>
          </w:p>
        </w:tc>
        <w:tc>
          <w:tcPr>
            <w:tcW w:w="45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款物管理</w:t>
            </w: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捐赠款物信息</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年度捐赠款物信息以及款物使用情况</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《中华人民共和国政府信息公开条例》（国务院令第711号）</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按进展情况及时公开</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区应急局</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各镇街</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■微信公众号 □发布会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cstheme="minorEastAsia"/>
                <w:kern w:val="0"/>
                <w:sz w:val="21"/>
                <w:szCs w:val="21"/>
                <w:lang w:eastAsia="zh-CN"/>
              </w:rPr>
              <w:t>救灾科</w:t>
            </w:r>
          </w:p>
        </w:tc>
      </w:tr>
      <w:tr>
        <w:tblPrEx>
          <w:tblCellMar>
            <w:top w:w="0" w:type="dxa"/>
            <w:left w:w="0" w:type="dxa"/>
            <w:bottom w:w="0" w:type="dxa"/>
            <w:right w:w="0" w:type="dxa"/>
          </w:tblCellMar>
        </w:tblPrEx>
        <w:trPr>
          <w:trHeight w:val="305"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18</w:t>
            </w:r>
          </w:p>
        </w:tc>
        <w:tc>
          <w:tcPr>
            <w:tcW w:w="45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款物管理</w:t>
            </w: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年度款物使用情况</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年度救灾资金和救灾物资等使用情况</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《中华人民共和国政府信息公开条例》（国务院令第711号）</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按进展情况及时公开</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区应急局</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各镇街</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■微信公众号 □发布会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cstheme="minorEastAsia"/>
                <w:kern w:val="0"/>
                <w:sz w:val="21"/>
                <w:szCs w:val="21"/>
                <w:lang w:eastAsia="zh-CN"/>
              </w:rPr>
              <w:t>救灾科</w:t>
            </w:r>
          </w:p>
        </w:tc>
      </w:tr>
      <w:tr>
        <w:tblPrEx>
          <w:tblCellMar>
            <w:top w:w="0" w:type="dxa"/>
            <w:left w:w="0" w:type="dxa"/>
            <w:bottom w:w="0" w:type="dxa"/>
            <w:right w:w="0" w:type="dxa"/>
          </w:tblCellMar>
        </w:tblPrEx>
        <w:trPr>
          <w:trHeight w:val="551" w:hRule="atLeast"/>
          <w:jc w:val="center"/>
        </w:trPr>
        <w:tc>
          <w:tcPr>
            <w:tcW w:w="36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19</w:t>
            </w:r>
          </w:p>
        </w:tc>
        <w:tc>
          <w:tcPr>
            <w:tcW w:w="45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工作动态</w:t>
            </w:r>
          </w:p>
        </w:tc>
        <w:tc>
          <w:tcPr>
            <w:tcW w:w="79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工作信息</w:t>
            </w:r>
          </w:p>
        </w:tc>
        <w:tc>
          <w:tcPr>
            <w:tcW w:w="23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防灾减灾救灾其他相关动态信息</w:t>
            </w:r>
          </w:p>
        </w:tc>
        <w:tc>
          <w:tcPr>
            <w:tcW w:w="3129"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《中华人民共和国政府信息公开条例》（国务院令第711号）</w:t>
            </w:r>
          </w:p>
        </w:tc>
        <w:tc>
          <w:tcPr>
            <w:tcW w:w="126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按进展情况及时公开</w:t>
            </w:r>
          </w:p>
        </w:tc>
        <w:tc>
          <w:tcPr>
            <w:tcW w:w="1102"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lang w:eastAsia="zh-CN"/>
              </w:rPr>
            </w:pPr>
            <w:r>
              <w:rPr>
                <w:rFonts w:hint="eastAsia"/>
                <w:lang w:eastAsia="zh-CN"/>
              </w:rPr>
              <w:t>区应急局</w:t>
            </w:r>
          </w:p>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HAnsi" w:hAnsiTheme="minorHAnsi" w:eastAsiaTheme="minorEastAsia" w:cstheme="minorBidi"/>
                <w:color w:val="auto"/>
                <w:kern w:val="2"/>
                <w:sz w:val="21"/>
                <w:szCs w:val="24"/>
                <w:lang w:val="en-US" w:eastAsia="zh-CN" w:bidi="ar-SA"/>
              </w:rPr>
              <w:t>各镇街</w:t>
            </w:r>
          </w:p>
        </w:tc>
        <w:tc>
          <w:tcPr>
            <w:tcW w:w="3658"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left"/>
              <w:textAlignment w:val="center"/>
              <w:rPr>
                <w:rFonts w:hint="eastAsia" w:asciiTheme="minorEastAsia" w:hAnsiTheme="minorEastAsia" w:eastAsiaTheme="minorEastAsia" w:cstheme="minorEastAsia"/>
                <w:color w:val="000000"/>
                <w:kern w:val="0"/>
                <w:sz w:val="21"/>
                <w:szCs w:val="21"/>
              </w:rPr>
            </w:pPr>
            <w:r>
              <w:rPr>
                <w:rFonts w:hint="eastAsia" w:asciiTheme="minorEastAsia" w:hAnsiTheme="minorEastAsia" w:eastAsiaTheme="minorEastAsia" w:cstheme="minorEastAsia"/>
                <w:color w:val="000000"/>
                <w:kern w:val="0"/>
                <w:sz w:val="21"/>
                <w:szCs w:val="21"/>
              </w:rPr>
              <w:t>■政府网站   □政府公报</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■微信公众号 □发布会</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■广播电视   ■纸质媒体</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■公开查阅点 □政务服务中心</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sym w:font="Wingdings 2" w:char="F052"/>
            </w:r>
            <w:r>
              <w:rPr>
                <w:rFonts w:hint="eastAsia" w:asciiTheme="minorEastAsia" w:hAnsiTheme="minorEastAsia" w:eastAsiaTheme="minorEastAsia" w:cstheme="minorEastAsia"/>
                <w:color w:val="000000"/>
                <w:kern w:val="0"/>
                <w:sz w:val="21"/>
                <w:szCs w:val="21"/>
              </w:rPr>
              <w:t>便民服务站 □入户/现场</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□社区/企事业单位、村公示栏（电子屏）</w:t>
            </w:r>
            <w:r>
              <w:rPr>
                <w:rFonts w:hint="eastAsia" w:asciiTheme="minorEastAsia" w:hAnsiTheme="minorEastAsia" w:eastAsiaTheme="minorEastAsia" w:cstheme="minorEastAsia"/>
                <w:color w:val="000000"/>
                <w:kern w:val="0"/>
                <w:sz w:val="21"/>
                <w:szCs w:val="21"/>
              </w:rPr>
              <w:br w:type="textWrapping"/>
            </w:r>
            <w:r>
              <w:rPr>
                <w:rFonts w:hint="eastAsia" w:asciiTheme="minorEastAsia" w:hAnsiTheme="minorEastAsia" w:eastAsiaTheme="minorEastAsia" w:cstheme="minorEastAsia"/>
                <w:color w:val="000000"/>
                <w:kern w:val="0"/>
                <w:sz w:val="21"/>
                <w:szCs w:val="21"/>
              </w:rPr>
              <w:t>□精准推送   □其他</w:t>
            </w:r>
          </w:p>
        </w:tc>
        <w:tc>
          <w:tcPr>
            <w:tcW w:w="323"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5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94"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2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p>
        </w:tc>
        <w:tc>
          <w:tcPr>
            <w:tcW w:w="25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3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w:t>
            </w:r>
          </w:p>
        </w:tc>
        <w:tc>
          <w:tcPr>
            <w:tcW w:w="11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300" w:lineRule="exact"/>
              <w:jc w:val="center"/>
              <w:textAlignment w:val="center"/>
              <w:rPr>
                <w:rFonts w:hint="eastAsia" w:asciiTheme="minorEastAsia" w:hAnsiTheme="minorEastAsia" w:eastAsiaTheme="minorEastAsia" w:cstheme="minorEastAsia"/>
                <w:kern w:val="0"/>
                <w:sz w:val="21"/>
                <w:szCs w:val="21"/>
              </w:rPr>
            </w:pPr>
            <w:r>
              <w:rPr>
                <w:rFonts w:hint="eastAsia" w:asciiTheme="minorEastAsia" w:hAnsiTheme="minorEastAsia" w:cstheme="minorEastAsia"/>
                <w:kern w:val="0"/>
                <w:sz w:val="21"/>
                <w:szCs w:val="21"/>
                <w:lang w:eastAsia="zh-CN"/>
              </w:rPr>
              <w:t>救灾科</w:t>
            </w:r>
          </w:p>
        </w:tc>
      </w:tr>
    </w:tbl>
    <w:p>
      <w:pPr>
        <w:pStyle w:val="2"/>
        <w:rPr>
          <w:rFonts w:hint="eastAsia"/>
          <w:lang w:eastAsia="zh-CN"/>
        </w:rPr>
      </w:pPr>
    </w:p>
    <w:sectPr>
      <w:footerReference r:id="rId3" w:type="default"/>
      <w:pgSz w:w="16838" w:h="11906" w:orient="landscape"/>
      <w:pgMar w:top="1417" w:right="850" w:bottom="1417" w:left="850" w:header="851" w:footer="992" w:gutter="0"/>
      <w:pgNumType w:fmt="decimal"/>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Noto Sans Mono CJK JP Regular">
    <w:altName w:val="Arial"/>
    <w:panose1 w:val="00000000000000000000"/>
    <w:charset w:val="00"/>
    <w:family w:val="swiss"/>
    <w:pitch w:val="default"/>
    <w:sig w:usb0="00000000" w:usb1="00000000" w:usb2="00000000" w:usb3="00000000" w:csb0="00000001" w:csb1="00000000"/>
  </w:font>
  <w:font w:name="等线">
    <w:altName w:val="宋体"/>
    <w:panose1 w:val="00000000000000000000"/>
    <w:charset w:val="86"/>
    <w:family w:val="auto"/>
    <w:pitch w:val="default"/>
    <w:sig w:usb0="00000000" w:usb1="00000000" w:usb2="00000016" w:usb3="00000000" w:csb0="0004000F" w:csb1="00000000"/>
  </w:font>
  <w:font w:name="仿宋">
    <w:panose1 w:val="02010609060101010101"/>
    <w:charset w:val="86"/>
    <w:family w:val="auto"/>
    <w:pitch w:val="default"/>
    <w:sig w:usb0="800002BF" w:usb1="38CF7CFA" w:usb2="00000016" w:usb3="00000000" w:csb0="00040001" w:csb1="00000000"/>
  </w:font>
  <w:font w:name="方正仿宋_GBK">
    <w:panose1 w:val="03000509000000000000"/>
    <w:charset w:val="86"/>
    <w:family w:val="script"/>
    <w:pitch w:val="default"/>
    <w:sig w:usb0="00000001" w:usb1="080E0000" w:usb2="00000000" w:usb3="00000000" w:csb0="00040000" w:csb1="00000000"/>
  </w:font>
  <w:font w:name="MingLiU">
    <w:panose1 w:val="02020509000000000000"/>
    <w:charset w:val="88"/>
    <w:family w:val="modern"/>
    <w:pitch w:val="default"/>
    <w:sig w:usb0="A00002FF" w:usb1="28CFFCFA" w:usb2="00000016" w:usb3="00000000" w:csb0="00100001" w:csb1="00000000"/>
  </w:font>
  <w:font w:name="方正黑体_GBK">
    <w:panose1 w:val="03000509000000000000"/>
    <w:charset w:val="86"/>
    <w:family w:val="auto"/>
    <w:pitch w:val="default"/>
    <w:sig w:usb0="00000001" w:usb1="080E0000" w:usb2="00000000" w:usb3="00000000" w:csb0="00040000" w:csb1="00000000"/>
  </w:font>
  <w:font w:name="Wingdings 2">
    <w:altName w:val="Wingdings"/>
    <w:panose1 w:val="05020102010507070707"/>
    <w:charset w:val="02"/>
    <w:family w:val="roman"/>
    <w:pitch w:val="default"/>
    <w:sig w:usb0="00000000" w:usb1="00000000" w:usb2="00000000" w:usb3="00000000" w:csb0="80000000"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right="360" w:firstLine="360"/>
      <w:jc w:val="right"/>
      <w:rPr>
        <w:rFonts w:ascii="Times New Roman" w:hAnsi="Times New Roman" w:cs="Times New Roman"/>
        <w:sz w:val="32"/>
        <w:szCs w:val="32"/>
      </w:rPr>
    </w:pPr>
    <w:r>
      <w:rPr>
        <w:sz w:val="32"/>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ind w:right="360" w:firstLine="360"/>
                            <w:jc w:val="right"/>
                          </w:pPr>
                          <w:r>
                            <w:rPr>
                              <w:rStyle w:val="9"/>
                              <w:rFonts w:ascii="Times New Roman" w:hAnsi="Times New Roman" w:cs="Times New Roman"/>
                              <w:sz w:val="32"/>
                              <w:szCs w:val="32"/>
                            </w:rPr>
                            <w:t>―</w:t>
                          </w:r>
                          <w:r>
                            <w:rPr>
                              <w:rFonts w:ascii="Times New Roman" w:hAnsi="Times New Roman" w:cs="Times New Roman"/>
                              <w:kern w:val="0"/>
                              <w:sz w:val="32"/>
                              <w:szCs w:val="32"/>
                            </w:rPr>
                            <w:t xml:space="preserve"> </w:t>
                          </w:r>
                          <w:r>
                            <w:rPr>
                              <w:rFonts w:hint="eastAsia" w:ascii="方正仿宋_GBK" w:hAnsi="方正仿宋_GBK" w:eastAsia="方正仿宋_GBK" w:cs="方正仿宋_GBK"/>
                              <w:kern w:val="0"/>
                              <w:sz w:val="32"/>
                              <w:szCs w:val="32"/>
                            </w:rPr>
                            <w:fldChar w:fldCharType="begin"/>
                          </w:r>
                          <w:r>
                            <w:rPr>
                              <w:rFonts w:hint="eastAsia" w:ascii="方正仿宋_GBK" w:hAnsi="方正仿宋_GBK" w:eastAsia="方正仿宋_GBK" w:cs="方正仿宋_GBK"/>
                              <w:kern w:val="0"/>
                              <w:sz w:val="32"/>
                              <w:szCs w:val="32"/>
                            </w:rPr>
                            <w:instrText xml:space="preserve"> PAGE </w:instrText>
                          </w:r>
                          <w:r>
                            <w:rPr>
                              <w:rFonts w:hint="eastAsia" w:ascii="方正仿宋_GBK" w:hAnsi="方正仿宋_GBK" w:eastAsia="方正仿宋_GBK" w:cs="方正仿宋_GBK"/>
                              <w:kern w:val="0"/>
                              <w:sz w:val="32"/>
                              <w:szCs w:val="32"/>
                            </w:rPr>
                            <w:fldChar w:fldCharType="separate"/>
                          </w:r>
                          <w:r>
                            <w:rPr>
                              <w:rFonts w:hint="eastAsia" w:ascii="方正仿宋_GBK" w:hAnsi="方正仿宋_GBK" w:eastAsia="方正仿宋_GBK" w:cs="方正仿宋_GBK"/>
                              <w:kern w:val="0"/>
                              <w:sz w:val="32"/>
                              <w:szCs w:val="32"/>
                            </w:rPr>
                            <w:t>1</w:t>
                          </w:r>
                          <w:r>
                            <w:rPr>
                              <w:rFonts w:hint="eastAsia" w:ascii="方正仿宋_GBK" w:hAnsi="方正仿宋_GBK" w:eastAsia="方正仿宋_GBK" w:cs="方正仿宋_GBK"/>
                              <w:kern w:val="0"/>
                              <w:sz w:val="32"/>
                              <w:szCs w:val="32"/>
                            </w:rPr>
                            <w:fldChar w:fldCharType="end"/>
                          </w:r>
                          <w:r>
                            <w:rPr>
                              <w:rFonts w:ascii="Times New Roman" w:hAnsi="Times New Roman" w:cs="Times New Roman"/>
                              <w:kern w:val="0"/>
                              <w:sz w:val="32"/>
                              <w:szCs w:val="32"/>
                            </w:rPr>
                            <w:t xml:space="preserve"> </w:t>
                          </w:r>
                          <w:r>
                            <w:rPr>
                              <w:rStyle w:val="9"/>
                              <w:rFonts w:ascii="Times New Roman" w:hAnsi="Times New Roman" w:cs="Times New Roman"/>
                              <w:sz w:val="32"/>
                              <w:szCs w:val="32"/>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ind w:right="360" w:firstLine="360"/>
                      <w:jc w:val="right"/>
                    </w:pPr>
                    <w:r>
                      <w:rPr>
                        <w:rStyle w:val="9"/>
                        <w:rFonts w:ascii="Times New Roman" w:hAnsi="Times New Roman" w:cs="Times New Roman"/>
                        <w:sz w:val="32"/>
                        <w:szCs w:val="32"/>
                      </w:rPr>
                      <w:t>―</w:t>
                    </w:r>
                    <w:r>
                      <w:rPr>
                        <w:rFonts w:ascii="Times New Roman" w:hAnsi="Times New Roman" w:cs="Times New Roman"/>
                        <w:kern w:val="0"/>
                        <w:sz w:val="32"/>
                        <w:szCs w:val="32"/>
                      </w:rPr>
                      <w:t xml:space="preserve"> </w:t>
                    </w:r>
                    <w:r>
                      <w:rPr>
                        <w:rFonts w:hint="eastAsia" w:ascii="方正仿宋_GBK" w:hAnsi="方正仿宋_GBK" w:eastAsia="方正仿宋_GBK" w:cs="方正仿宋_GBK"/>
                        <w:kern w:val="0"/>
                        <w:sz w:val="32"/>
                        <w:szCs w:val="32"/>
                      </w:rPr>
                      <w:fldChar w:fldCharType="begin"/>
                    </w:r>
                    <w:r>
                      <w:rPr>
                        <w:rFonts w:hint="eastAsia" w:ascii="方正仿宋_GBK" w:hAnsi="方正仿宋_GBK" w:eastAsia="方正仿宋_GBK" w:cs="方正仿宋_GBK"/>
                        <w:kern w:val="0"/>
                        <w:sz w:val="32"/>
                        <w:szCs w:val="32"/>
                      </w:rPr>
                      <w:instrText xml:space="preserve"> PAGE </w:instrText>
                    </w:r>
                    <w:r>
                      <w:rPr>
                        <w:rFonts w:hint="eastAsia" w:ascii="方正仿宋_GBK" w:hAnsi="方正仿宋_GBK" w:eastAsia="方正仿宋_GBK" w:cs="方正仿宋_GBK"/>
                        <w:kern w:val="0"/>
                        <w:sz w:val="32"/>
                        <w:szCs w:val="32"/>
                      </w:rPr>
                      <w:fldChar w:fldCharType="separate"/>
                    </w:r>
                    <w:r>
                      <w:rPr>
                        <w:rFonts w:hint="eastAsia" w:ascii="方正仿宋_GBK" w:hAnsi="方正仿宋_GBK" w:eastAsia="方正仿宋_GBK" w:cs="方正仿宋_GBK"/>
                        <w:kern w:val="0"/>
                        <w:sz w:val="32"/>
                        <w:szCs w:val="32"/>
                      </w:rPr>
                      <w:t>1</w:t>
                    </w:r>
                    <w:r>
                      <w:rPr>
                        <w:rFonts w:hint="eastAsia" w:ascii="方正仿宋_GBK" w:hAnsi="方正仿宋_GBK" w:eastAsia="方正仿宋_GBK" w:cs="方正仿宋_GBK"/>
                        <w:kern w:val="0"/>
                        <w:sz w:val="32"/>
                        <w:szCs w:val="32"/>
                      </w:rPr>
                      <w:fldChar w:fldCharType="end"/>
                    </w:r>
                    <w:r>
                      <w:rPr>
                        <w:rFonts w:ascii="Times New Roman" w:hAnsi="Times New Roman" w:cs="Times New Roman"/>
                        <w:kern w:val="0"/>
                        <w:sz w:val="32"/>
                        <w:szCs w:val="32"/>
                      </w:rPr>
                      <w:t xml:space="preserve"> </w:t>
                    </w:r>
                    <w:r>
                      <w:rPr>
                        <w:rStyle w:val="9"/>
                        <w:rFonts w:ascii="Times New Roman" w:hAnsi="Times New Roman" w:cs="Times New Roman"/>
                        <w:sz w:val="32"/>
                        <w:szCs w:val="32"/>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9DB6804"/>
    <w:rsid w:val="000048C0"/>
    <w:rsid w:val="006201BC"/>
    <w:rsid w:val="00C55023"/>
    <w:rsid w:val="00D844DC"/>
    <w:rsid w:val="00E46E8F"/>
    <w:rsid w:val="00FA68F8"/>
    <w:rsid w:val="0183602F"/>
    <w:rsid w:val="03CF6908"/>
    <w:rsid w:val="046F3DD8"/>
    <w:rsid w:val="0481351D"/>
    <w:rsid w:val="0546238F"/>
    <w:rsid w:val="05FC1A04"/>
    <w:rsid w:val="06666C14"/>
    <w:rsid w:val="06EC3B3D"/>
    <w:rsid w:val="0BC5473B"/>
    <w:rsid w:val="0C45141B"/>
    <w:rsid w:val="0C7E3918"/>
    <w:rsid w:val="10766D8F"/>
    <w:rsid w:val="10AA0F26"/>
    <w:rsid w:val="11426DAE"/>
    <w:rsid w:val="118A0086"/>
    <w:rsid w:val="118D4B78"/>
    <w:rsid w:val="11BF28F3"/>
    <w:rsid w:val="12DC1E28"/>
    <w:rsid w:val="1414624C"/>
    <w:rsid w:val="148A25E3"/>
    <w:rsid w:val="15FA4CD8"/>
    <w:rsid w:val="176D084E"/>
    <w:rsid w:val="19DB1B6C"/>
    <w:rsid w:val="19DB6804"/>
    <w:rsid w:val="19E32DAE"/>
    <w:rsid w:val="1B753DF7"/>
    <w:rsid w:val="1BD7444C"/>
    <w:rsid w:val="1C0E4666"/>
    <w:rsid w:val="1CA42B17"/>
    <w:rsid w:val="1D147F75"/>
    <w:rsid w:val="1E14079C"/>
    <w:rsid w:val="1EC22FF3"/>
    <w:rsid w:val="20051053"/>
    <w:rsid w:val="20165453"/>
    <w:rsid w:val="20881880"/>
    <w:rsid w:val="21AA1F21"/>
    <w:rsid w:val="21D5664C"/>
    <w:rsid w:val="22FE05F9"/>
    <w:rsid w:val="2306637F"/>
    <w:rsid w:val="239A2B92"/>
    <w:rsid w:val="247865AC"/>
    <w:rsid w:val="24855010"/>
    <w:rsid w:val="25D41315"/>
    <w:rsid w:val="27D52010"/>
    <w:rsid w:val="293A7827"/>
    <w:rsid w:val="2AA81DC4"/>
    <w:rsid w:val="2CE051C4"/>
    <w:rsid w:val="2FA23BBB"/>
    <w:rsid w:val="2FBF98F5"/>
    <w:rsid w:val="303D0611"/>
    <w:rsid w:val="307570CF"/>
    <w:rsid w:val="33EC5C6F"/>
    <w:rsid w:val="35771377"/>
    <w:rsid w:val="35DB1169"/>
    <w:rsid w:val="35F3697B"/>
    <w:rsid w:val="38927EE6"/>
    <w:rsid w:val="38B224AE"/>
    <w:rsid w:val="392308D1"/>
    <w:rsid w:val="3A853CD7"/>
    <w:rsid w:val="3B99028E"/>
    <w:rsid w:val="3C284045"/>
    <w:rsid w:val="3C6143B1"/>
    <w:rsid w:val="3C967C00"/>
    <w:rsid w:val="3D5C4646"/>
    <w:rsid w:val="3E0768F2"/>
    <w:rsid w:val="3E355D7B"/>
    <w:rsid w:val="3F1B35F1"/>
    <w:rsid w:val="3F7B6392"/>
    <w:rsid w:val="423667A6"/>
    <w:rsid w:val="43BC1856"/>
    <w:rsid w:val="44273A8B"/>
    <w:rsid w:val="454C6409"/>
    <w:rsid w:val="46964683"/>
    <w:rsid w:val="47542844"/>
    <w:rsid w:val="47880223"/>
    <w:rsid w:val="4A901795"/>
    <w:rsid w:val="4ABB7228"/>
    <w:rsid w:val="4B9E0BB5"/>
    <w:rsid w:val="4C720175"/>
    <w:rsid w:val="500C5D52"/>
    <w:rsid w:val="502B4AE5"/>
    <w:rsid w:val="505D43DA"/>
    <w:rsid w:val="507F7B2F"/>
    <w:rsid w:val="52111BF0"/>
    <w:rsid w:val="56C42B3D"/>
    <w:rsid w:val="5919096C"/>
    <w:rsid w:val="596B6989"/>
    <w:rsid w:val="5A674378"/>
    <w:rsid w:val="5B29298E"/>
    <w:rsid w:val="5F57078A"/>
    <w:rsid w:val="5F971097"/>
    <w:rsid w:val="5FCF0377"/>
    <w:rsid w:val="605D0C1E"/>
    <w:rsid w:val="60D2128F"/>
    <w:rsid w:val="62052070"/>
    <w:rsid w:val="62061505"/>
    <w:rsid w:val="62FA2EF5"/>
    <w:rsid w:val="63137486"/>
    <w:rsid w:val="64026755"/>
    <w:rsid w:val="6425084A"/>
    <w:rsid w:val="642F3FD4"/>
    <w:rsid w:val="67F458BB"/>
    <w:rsid w:val="6A561C4E"/>
    <w:rsid w:val="6BAE694F"/>
    <w:rsid w:val="6BB959A1"/>
    <w:rsid w:val="6BD872DB"/>
    <w:rsid w:val="6E4B5E62"/>
    <w:rsid w:val="6E974C2B"/>
    <w:rsid w:val="70B37E08"/>
    <w:rsid w:val="71693F8B"/>
    <w:rsid w:val="7187452B"/>
    <w:rsid w:val="74353094"/>
    <w:rsid w:val="751C4521"/>
    <w:rsid w:val="76806A29"/>
    <w:rsid w:val="76C4259D"/>
    <w:rsid w:val="79562D5E"/>
    <w:rsid w:val="7AB4302C"/>
    <w:rsid w:val="7AC95C38"/>
    <w:rsid w:val="7B4E3AB9"/>
    <w:rsid w:val="7BDE4835"/>
    <w:rsid w:val="7C1A67AF"/>
    <w:rsid w:val="7D0D0A2E"/>
    <w:rsid w:val="7DF55E06"/>
    <w:rsid w:val="EDE8AF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仿宋_GB2312" w:hAnsi="Calibri" w:eastAsia="仿宋_GB2312" w:cs="仿宋_GB2312"/>
      <w:color w:val="000000"/>
      <w:kern w:val="0"/>
      <w:sz w:val="24"/>
      <w:szCs w:val="24"/>
      <w:lang w:val="en-US" w:eastAsia="zh-CN" w:bidi="ar-SA"/>
    </w:rPr>
  </w:style>
  <w:style w:type="paragraph" w:styleId="3">
    <w:name w:val="Body Text"/>
    <w:basedOn w:val="1"/>
    <w:qFormat/>
    <w:uiPriority w:val="0"/>
    <w:pPr>
      <w:ind w:left="100" w:leftChars="100" w:right="100" w:rightChars="100"/>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page number"/>
    <w:basedOn w:val="8"/>
    <w:qFormat/>
    <w:uiPriority w:val="0"/>
  </w:style>
  <w:style w:type="character" w:styleId="10">
    <w:name w:val="Emphasis"/>
    <w:qFormat/>
    <w:uiPriority w:val="0"/>
    <w:rPr>
      <w:i/>
      <w:iCs/>
    </w:rPr>
  </w:style>
  <w:style w:type="character" w:styleId="11">
    <w:name w:val="Hyperlink"/>
    <w:basedOn w:val="8"/>
    <w:qFormat/>
    <w:uiPriority w:val="0"/>
    <w:rPr>
      <w:color w:val="0000FF"/>
      <w:u w:val="single"/>
    </w:rPr>
  </w:style>
  <w:style w:type="paragraph" w:customStyle="1" w:styleId="12">
    <w:name w:val="Table Paragraph"/>
    <w:basedOn w:val="1"/>
    <w:qFormat/>
    <w:uiPriority w:val="99"/>
    <w:pPr>
      <w:autoSpaceDE w:val="0"/>
      <w:autoSpaceDN w:val="0"/>
      <w:adjustRightInd/>
      <w:spacing w:line="240" w:lineRule="auto"/>
      <w:jc w:val="left"/>
      <w:textAlignment w:val="auto"/>
    </w:pPr>
    <w:rPr>
      <w:rFonts w:ascii="Noto Sans Mono CJK JP Regular" w:hAnsi="Noto Sans Mono CJK JP Regular" w:eastAsia="等线" w:cs="Noto Sans Mono CJK JP Regular"/>
      <w:sz w:val="22"/>
      <w:szCs w:val="22"/>
      <w:lang w:eastAsia="en-US"/>
    </w:rPr>
  </w:style>
  <w:style w:type="character" w:customStyle="1" w:styleId="13">
    <w:name w:val="font21"/>
    <w:basedOn w:val="8"/>
    <w:qFormat/>
    <w:uiPriority w:val="0"/>
    <w:rPr>
      <w:rFonts w:hint="eastAsia" w:ascii="仿宋" w:hAnsi="仿宋" w:eastAsia="仿宋" w:cs="仿宋"/>
      <w:color w:val="000000"/>
      <w:sz w:val="22"/>
      <w:szCs w:val="22"/>
      <w:u w:val="none"/>
    </w:rPr>
  </w:style>
  <w:style w:type="character" w:customStyle="1" w:styleId="14">
    <w:name w:val="font01"/>
    <w:basedOn w:val="8"/>
    <w:qFormat/>
    <w:uiPriority w:val="0"/>
    <w:rPr>
      <w:rFonts w:hint="eastAsia" w:ascii="仿宋" w:hAnsi="仿宋" w:eastAsia="仿宋" w:cs="仿宋"/>
      <w:color w:val="000000"/>
      <w:sz w:val="22"/>
      <w:szCs w:val="22"/>
      <w:u w:val="single"/>
    </w:rPr>
  </w:style>
  <w:style w:type="character" w:customStyle="1" w:styleId="15">
    <w:name w:val="font31"/>
    <w:basedOn w:val="8"/>
    <w:qFormat/>
    <w:uiPriority w:val="0"/>
    <w:rPr>
      <w:rFonts w:hint="eastAsia" w:ascii="方正仿宋_GBK" w:hAnsi="方正仿宋_GBK" w:eastAsia="方正仿宋_GBK" w:cs="方正仿宋_GBK"/>
      <w:color w:val="000000"/>
      <w:sz w:val="24"/>
      <w:szCs w:val="24"/>
      <w:u w:val="single"/>
    </w:rPr>
  </w:style>
  <w:style w:type="character" w:customStyle="1" w:styleId="16">
    <w:name w:val="font51"/>
    <w:basedOn w:val="8"/>
    <w:qFormat/>
    <w:uiPriority w:val="0"/>
    <w:rPr>
      <w:rFonts w:hint="eastAsia" w:ascii="方正仿宋_GBK" w:hAnsi="方正仿宋_GBK" w:eastAsia="方正仿宋_GBK" w:cs="方正仿宋_GBK"/>
      <w:color w:val="000000"/>
      <w:sz w:val="24"/>
      <w:szCs w:val="24"/>
      <w:u w:val="none"/>
    </w:rPr>
  </w:style>
  <w:style w:type="paragraph" w:customStyle="1" w:styleId="17">
    <w:name w:val="_Style 4"/>
    <w:basedOn w:val="1"/>
    <w:qFormat/>
    <w:uiPriority w:val="0"/>
    <w:pPr>
      <w:ind w:firstLine="420" w:firstLineChars="200"/>
    </w:pPr>
    <w:rPr>
      <w:rFonts w:ascii="等线" w:hAnsi="等线" w:eastAsia="等线" w:cs="Times New Roman"/>
    </w:rPr>
  </w:style>
  <w:style w:type="paragraph" w:customStyle="1" w:styleId="18">
    <w:name w:val="_Style 2"/>
    <w:basedOn w:val="1"/>
    <w:qFormat/>
    <w:uiPriority w:val="0"/>
    <w:pPr>
      <w:ind w:firstLine="420" w:firstLineChars="200"/>
    </w:pPr>
    <w:rPr>
      <w:rFonts w:ascii="等线" w:hAnsi="等线" w:eastAsia="等线" w:cs="Times New Roman"/>
    </w:rPr>
  </w:style>
  <w:style w:type="paragraph" w:customStyle="1" w:styleId="19">
    <w:name w:val="列出段落2"/>
    <w:basedOn w:val="1"/>
    <w:qFormat/>
    <w:uiPriority w:val="0"/>
    <w:pPr>
      <w:ind w:firstLine="420" w:firstLineChars="200"/>
    </w:pPr>
    <w:rPr>
      <w:rFonts w:ascii="等线" w:hAnsi="等线" w:eastAsia="等线" w:cs="Times New Roman"/>
    </w:rPr>
  </w:style>
  <w:style w:type="character" w:customStyle="1" w:styleId="20">
    <w:name w:val="font41"/>
    <w:basedOn w:val="8"/>
    <w:qFormat/>
    <w:uiPriority w:val="0"/>
    <w:rPr>
      <w:rFonts w:hint="eastAsia" w:ascii="方正仿宋_GBK" w:hAnsi="方正仿宋_GBK" w:eastAsia="方正仿宋_GBK" w:cs="方正仿宋_GBK"/>
      <w:color w:val="000000"/>
      <w:sz w:val="24"/>
      <w:szCs w:val="24"/>
      <w:u w:val="none"/>
    </w:rPr>
  </w:style>
  <w:style w:type="character" w:customStyle="1" w:styleId="21">
    <w:name w:val="font71"/>
    <w:basedOn w:val="8"/>
    <w:qFormat/>
    <w:uiPriority w:val="0"/>
    <w:rPr>
      <w:rFonts w:hint="eastAsia" w:ascii="方正仿宋_GBK" w:hAnsi="方正仿宋_GBK" w:eastAsia="方正仿宋_GBK" w:cs="方正仿宋_GBK"/>
      <w:color w:val="000000"/>
      <w:sz w:val="24"/>
      <w:szCs w:val="24"/>
      <w:u w:val="none"/>
    </w:rPr>
  </w:style>
  <w:style w:type="paragraph" w:customStyle="1" w:styleId="22">
    <w:name w:val="正文文本 (3)"/>
    <w:basedOn w:val="1"/>
    <w:qFormat/>
    <w:uiPriority w:val="0"/>
    <w:pPr>
      <w:shd w:val="clear" w:color="auto" w:fill="FFFFFF"/>
      <w:spacing w:before="60" w:after="1340" w:line="280" w:lineRule="exact"/>
      <w:jc w:val="right"/>
    </w:pPr>
    <w:rPr>
      <w:rFonts w:ascii="MingLiU" w:hAnsi="MingLiU" w:eastAsia="MingLiU" w:cs="MingLiU"/>
      <w:spacing w:val="20"/>
      <w:sz w:val="28"/>
      <w:szCs w:val="28"/>
    </w:rPr>
  </w:style>
  <w:style w:type="paragraph" w:customStyle="1" w:styleId="23">
    <w:name w:val="正文文本 (2)"/>
    <w:basedOn w:val="1"/>
    <w:link w:val="25"/>
    <w:qFormat/>
    <w:uiPriority w:val="0"/>
    <w:pPr>
      <w:shd w:val="clear" w:color="auto" w:fill="FFFFFF"/>
      <w:spacing w:line="238" w:lineRule="exact"/>
      <w:jc w:val="distribute"/>
    </w:pPr>
    <w:rPr>
      <w:rFonts w:ascii="MingLiU" w:hAnsi="MingLiU" w:eastAsia="MingLiU" w:cs="MingLiU"/>
      <w:spacing w:val="10"/>
      <w:sz w:val="17"/>
      <w:szCs w:val="17"/>
    </w:rPr>
  </w:style>
  <w:style w:type="character" w:customStyle="1" w:styleId="24">
    <w:name w:val="正文文本 (2) + 间距 1 pt Exact"/>
    <w:basedOn w:val="25"/>
    <w:qFormat/>
    <w:uiPriority w:val="0"/>
    <w:rPr>
      <w:color w:val="000000"/>
      <w:spacing w:val="30"/>
      <w:w w:val="100"/>
      <w:position w:val="0"/>
      <w:lang w:val="zh-CN" w:eastAsia="zh-CN" w:bidi="zh-CN"/>
    </w:rPr>
  </w:style>
  <w:style w:type="character" w:customStyle="1" w:styleId="25">
    <w:name w:val="正文文本 (2) Exact"/>
    <w:basedOn w:val="8"/>
    <w:link w:val="23"/>
    <w:qFormat/>
    <w:uiPriority w:val="0"/>
    <w:rPr>
      <w:rFonts w:ascii="MingLiU" w:hAnsi="MingLiU" w:eastAsia="MingLiU" w:cs="MingLiU"/>
      <w:spacing w:val="10"/>
      <w:sz w:val="17"/>
      <w:szCs w:val="17"/>
    </w:rPr>
  </w:style>
  <w:style w:type="character" w:customStyle="1" w:styleId="26">
    <w:name w:val="正文文本 (2) + 间距 3 pt Exact"/>
    <w:basedOn w:val="25"/>
    <w:qFormat/>
    <w:uiPriority w:val="0"/>
    <w:rPr>
      <w:color w:val="000000"/>
      <w:spacing w:val="60"/>
      <w:w w:val="100"/>
      <w:position w:val="0"/>
      <w:lang w:val="zh-CN" w:eastAsia="zh-CN" w:bidi="zh-CN"/>
    </w:rPr>
  </w:style>
  <w:style w:type="paragraph" w:customStyle="1" w:styleId="27">
    <w:name w:val="正文文本 (7)"/>
    <w:basedOn w:val="1"/>
    <w:link w:val="29"/>
    <w:qFormat/>
    <w:uiPriority w:val="0"/>
    <w:pPr>
      <w:shd w:val="clear" w:color="auto" w:fill="FFFFFF"/>
      <w:spacing w:line="216" w:lineRule="exact"/>
      <w:jc w:val="distribute"/>
    </w:pPr>
    <w:rPr>
      <w:rFonts w:ascii="MingLiU" w:hAnsi="MingLiU" w:eastAsia="MingLiU" w:cs="MingLiU"/>
      <w:spacing w:val="20"/>
      <w:sz w:val="16"/>
      <w:szCs w:val="16"/>
    </w:rPr>
  </w:style>
  <w:style w:type="character" w:customStyle="1" w:styleId="28">
    <w:name w:val="正文文本 (7) Exact1"/>
    <w:basedOn w:val="29"/>
    <w:qFormat/>
    <w:uiPriority w:val="0"/>
    <w:rPr>
      <w:color w:val="000000"/>
      <w:w w:val="100"/>
      <w:position w:val="0"/>
      <w:u w:val="single"/>
      <w:lang w:val="zh-CN" w:eastAsia="zh-CN" w:bidi="zh-CN"/>
    </w:rPr>
  </w:style>
  <w:style w:type="character" w:customStyle="1" w:styleId="29">
    <w:name w:val="正文文本 (7) Exact"/>
    <w:basedOn w:val="8"/>
    <w:link w:val="27"/>
    <w:qFormat/>
    <w:uiPriority w:val="0"/>
    <w:rPr>
      <w:rFonts w:ascii="MingLiU" w:hAnsi="MingLiU" w:eastAsia="MingLiU" w:cs="MingLiU"/>
      <w:spacing w:val="20"/>
      <w:sz w:val="16"/>
      <w:szCs w:val="16"/>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2682</Words>
  <Characters>2643</Characters>
  <Lines>22</Lines>
  <Paragraphs>10</Paragraphs>
  <TotalTime>0</TotalTime>
  <ScaleCrop>false</ScaleCrop>
  <LinksUpToDate>false</LinksUpToDate>
  <CharactersWithSpaces>5315</CharactersWithSpaces>
  <Application>WPS Office_12.8.2.15291_F1E327BC-269C-435d-A152-05C5408002CA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2020-06-11T00:18:00Z</dcterms:created>
  <dc:creator>dzb</dc:creator>
  <cp:lastModifiedBy>WTY</cp:lastModifiedBy>
  <cp:lastPrinted>2020-08-28T23:31:00Z</cp:lastPrinted>
  <dcterms:modified xsi:type="dcterms:W3CDTF">2025-02-26T03:40:37Z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2052-12.8.2.15291</vt:lpwstr>
  </property>
  <property fmtid="{D5CDD505-2E9C-101B-9397-08002B2CF9AE}" pid="3" name="ICV">
    <vt:lpwstr>D0C0AF5D1D14425E902F68AD1DC98F3B</vt:lpwstr>
  </property>
</Properties>
</file>