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default" w:ascii="Nimbus Roman" w:hAnsi="Nimbus Roman" w:eastAsia="方正小标宋_GBK" w:cs="Nimbus Roman"/>
          <w:color w:val="auto"/>
          <w:sz w:val="44"/>
          <w:szCs w:val="44"/>
        </w:rPr>
      </w:pPr>
      <w:r>
        <w:rPr>
          <w:rFonts w:hint="default" w:ascii="Nimbus Roman" w:hAnsi="Nimbus Roman" w:eastAsia="方正小标宋_GBK" w:cs="Nimbus Roman"/>
          <w:color w:val="auto"/>
          <w:sz w:val="44"/>
          <w:szCs w:val="44"/>
        </w:rPr>
        <w:t>重庆市铜梁区土桥镇劳动就业和</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default" w:ascii="Nimbus Roman" w:hAnsi="Nimbus Roman" w:eastAsia="方正小标宋_GBK" w:cs="Nimbus Roman"/>
          <w:color w:val="auto"/>
          <w:sz w:val="44"/>
          <w:szCs w:val="44"/>
          <w:shd w:val="clear" w:color="auto" w:fill="FFFFFF"/>
        </w:rPr>
      </w:pPr>
      <w:r>
        <w:rPr>
          <w:rFonts w:hint="default" w:ascii="Nimbus Roman" w:hAnsi="Nimbus Roman" w:eastAsia="方正小标宋_GBK" w:cs="Nimbus Roman"/>
          <w:color w:val="auto"/>
          <w:sz w:val="44"/>
          <w:szCs w:val="44"/>
        </w:rPr>
        <w:t>社会保障服务所</w:t>
      </w:r>
      <w:r>
        <w:rPr>
          <w:rFonts w:hint="default" w:ascii="Nimbus Roman" w:hAnsi="Nimbus Roman" w:eastAsia="方正小标宋_GBK" w:cs="Nimbus Roman"/>
          <w:color w:val="auto"/>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rPr>
      </w:pPr>
      <w:r>
        <w:rPr>
          <w:rFonts w:hint="default" w:ascii="Nimbus Roman" w:hAnsi="Nimbus Roman" w:eastAsia="方正黑体_GBK" w:cs="Nimbus Roman"/>
          <w:color w:val="auto"/>
          <w:sz w:val="32"/>
          <w:szCs w:val="32"/>
        </w:rPr>
        <w:t>一、</w:t>
      </w:r>
      <w:r>
        <w:rPr>
          <w:rFonts w:hint="default" w:ascii="Nimbus Roman" w:hAnsi="Nimbus Roman" w:eastAsia="方正黑体_GBK" w:cs="Nimbus Roman"/>
          <w:color w:val="auto"/>
          <w:sz w:val="32"/>
          <w:szCs w:val="32"/>
          <w:lang w:eastAsia="zh-CN"/>
        </w:rPr>
        <w:t>单位</w:t>
      </w:r>
      <w:r>
        <w:rPr>
          <w:rFonts w:hint="default" w:ascii="Nimbus Roman" w:hAnsi="Nimbus Roman" w:eastAsia="方正黑体_GBK" w:cs="Nimbus Roman"/>
          <w:color w:val="auto"/>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（一）职能职责</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Nimbus Roman" w:hAnsi="Nimbus Roman" w:eastAsia="方正仿宋_GBK" w:cs="Nimbus Roman"/>
          <w:i w:val="0"/>
          <w:caps w:val="0"/>
          <w:color w:val="auto"/>
          <w:spacing w:val="0"/>
          <w:sz w:val="32"/>
          <w:szCs w:val="32"/>
          <w:lang w:val="en-US" w:eastAsia="zh-CN"/>
        </w:rPr>
      </w:pPr>
      <w:r>
        <w:rPr>
          <w:rFonts w:hint="default" w:ascii="Nimbus Roman" w:hAnsi="Nimbus Roman" w:eastAsia="方正仿宋_GBK" w:cs="Nimbus Roman"/>
          <w:i w:val="0"/>
          <w:caps w:val="0"/>
          <w:color w:val="auto"/>
          <w:spacing w:val="0"/>
          <w:sz w:val="32"/>
          <w:szCs w:val="32"/>
          <w:lang w:val="en-US" w:eastAsia="zh-CN"/>
        </w:rPr>
        <w:t>1.为群众提供人力资源和社会保障服务。</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Nimbus Roman" w:hAnsi="Nimbus Roman" w:eastAsia="方正仿宋_GBK" w:cs="Nimbus Roman"/>
          <w:i w:val="0"/>
          <w:caps w:val="0"/>
          <w:color w:val="auto"/>
          <w:spacing w:val="0"/>
          <w:sz w:val="32"/>
          <w:szCs w:val="32"/>
          <w:lang w:val="en-US" w:eastAsia="zh-CN"/>
        </w:rPr>
      </w:pPr>
      <w:r>
        <w:rPr>
          <w:rFonts w:hint="default" w:ascii="Nimbus Roman" w:hAnsi="Nimbus Roman" w:eastAsia="方正仿宋_GBK" w:cs="Nimbus Roman"/>
          <w:i w:val="0"/>
          <w:caps w:val="0"/>
          <w:color w:val="auto"/>
          <w:spacing w:val="0"/>
          <w:sz w:val="32"/>
          <w:szCs w:val="32"/>
          <w:lang w:val="en-US" w:eastAsia="zh-CN"/>
        </w:rPr>
        <w:t>2.承担就业、再就</w:t>
      </w:r>
      <w:bookmarkStart w:id="0" w:name="_GoBack"/>
      <w:bookmarkEnd w:id="0"/>
      <w:r>
        <w:rPr>
          <w:rFonts w:hint="default" w:ascii="Nimbus Roman" w:hAnsi="Nimbus Roman" w:eastAsia="方正仿宋_GBK" w:cs="Nimbus Roman"/>
          <w:i w:val="0"/>
          <w:caps w:val="0"/>
          <w:color w:val="auto"/>
          <w:spacing w:val="0"/>
          <w:sz w:val="32"/>
          <w:szCs w:val="32"/>
          <w:lang w:val="en-US" w:eastAsia="zh-CN"/>
        </w:rPr>
        <w:t>业促进工作，社会保险业务经办，优抚救济、社会救助和城乡低保办理，离退休人员社会化管理和服务。</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Nimbus Roman" w:hAnsi="Nimbus Roman" w:eastAsia="方正仿宋_GBK" w:cs="Nimbus Roman"/>
          <w:i w:val="0"/>
          <w:caps w:val="0"/>
          <w:color w:val="auto"/>
          <w:spacing w:val="0"/>
          <w:sz w:val="32"/>
          <w:szCs w:val="32"/>
          <w:lang w:val="en-US" w:eastAsia="zh-CN"/>
        </w:rPr>
      </w:pPr>
      <w:r>
        <w:rPr>
          <w:rFonts w:hint="default" w:ascii="Nimbus Roman" w:hAnsi="Nimbus Roman" w:eastAsia="方正仿宋_GBK" w:cs="Nimbus Roman"/>
          <w:i w:val="0"/>
          <w:caps w:val="0"/>
          <w:color w:val="auto"/>
          <w:spacing w:val="0"/>
          <w:sz w:val="32"/>
          <w:szCs w:val="32"/>
          <w:lang w:val="en-US" w:eastAsia="zh-CN"/>
        </w:rPr>
        <w:t>3.负责辖区内公益性岗位的管理工作，灵活就业人员援助，</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Nimbus Roman" w:hAnsi="Nimbus Roman" w:eastAsia="方正仿宋_GBK" w:cs="Nimbus Roman"/>
          <w:i w:val="0"/>
          <w:caps w:val="0"/>
          <w:color w:val="auto"/>
          <w:spacing w:val="0"/>
          <w:sz w:val="32"/>
          <w:szCs w:val="32"/>
          <w:lang w:val="en-US" w:eastAsia="zh-CN"/>
        </w:rPr>
      </w:pPr>
      <w:r>
        <w:rPr>
          <w:rFonts w:hint="default" w:ascii="Nimbus Roman" w:hAnsi="Nimbus Roman" w:eastAsia="方正仿宋_GBK" w:cs="Nimbus Roman"/>
          <w:i w:val="0"/>
          <w:caps w:val="0"/>
          <w:color w:val="auto"/>
          <w:spacing w:val="0"/>
          <w:sz w:val="32"/>
          <w:szCs w:val="32"/>
          <w:lang w:val="en-US" w:eastAsia="zh-CN"/>
        </w:rPr>
        <w:t>4.负责组织辖区内相关人员参加职业技能培训，提升他们的就业能力；组织劳务输出，加强外来劳动力的管理与服务工作。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Nimbus Roman" w:hAnsi="Nimbus Roman" w:eastAsia="方正仿宋_GBK" w:cs="Nimbus Roman"/>
          <w:i w:val="0"/>
          <w:caps w:val="0"/>
          <w:color w:val="auto"/>
          <w:spacing w:val="0"/>
          <w:sz w:val="32"/>
          <w:szCs w:val="32"/>
        </w:rPr>
      </w:pPr>
      <w:r>
        <w:rPr>
          <w:rFonts w:hint="default" w:ascii="Nimbus Roman" w:hAnsi="Nimbus Roman" w:eastAsia="方正仿宋_GBK" w:cs="Nimbus Roman"/>
          <w:i w:val="0"/>
          <w:caps w:val="0"/>
          <w:color w:val="auto"/>
          <w:spacing w:val="0"/>
          <w:sz w:val="32"/>
          <w:szCs w:val="32"/>
          <w:lang w:val="en-US" w:eastAsia="zh-CN"/>
        </w:rPr>
        <w:t>5</w:t>
      </w:r>
      <w:r>
        <w:rPr>
          <w:rFonts w:hint="default" w:ascii="Nimbus Roman" w:hAnsi="Nimbus Roman" w:eastAsia="方正仿宋_GBK" w:cs="Nimbus Roman"/>
          <w:i w:val="0"/>
          <w:caps w:val="0"/>
          <w:color w:val="auto"/>
          <w:spacing w:val="0"/>
          <w:sz w:val="32"/>
          <w:szCs w:val="32"/>
        </w:rPr>
        <w:t>.完成上级政府交办的其他事项。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color w:val="auto"/>
          <w:sz w:val="32"/>
          <w:szCs w:val="32"/>
          <w:lang w:val="en-US" w:eastAsia="zh-CN"/>
        </w:rPr>
        <w:t xml:space="preserve"> </w:t>
      </w:r>
      <w:r>
        <w:rPr>
          <w:rFonts w:hint="default" w:ascii="Nimbus Roman" w:hAnsi="Nimbus Roman" w:eastAsia="方正仿宋_GBK" w:cs="Nimbus Roman"/>
          <w:i w:val="0"/>
          <w:caps w:val="0"/>
          <w:color w:val="auto"/>
          <w:spacing w:val="0"/>
          <w:kern w:val="0"/>
          <w:sz w:val="32"/>
          <w:szCs w:val="32"/>
          <w:lang w:val="en-US" w:eastAsia="zh-CN" w:bidi="ar"/>
        </w:rPr>
        <w:t>重庆市铜梁区土桥镇劳动就业和社会保障服务所为重庆市铜梁区土桥镇人民政府下设的事业单位。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rPr>
      </w:pPr>
      <w:r>
        <w:rPr>
          <w:rFonts w:hint="default" w:ascii="Nimbus Roman" w:hAnsi="Nimbus Roman" w:eastAsia="方正黑体_GBK" w:cs="Nimbus Roman"/>
          <w:color w:val="auto"/>
          <w:sz w:val="32"/>
          <w:szCs w:val="32"/>
        </w:rPr>
        <w:t>二、</w:t>
      </w:r>
      <w:r>
        <w:rPr>
          <w:rFonts w:hint="default" w:ascii="Nimbus Roman" w:hAnsi="Nimbus Roman" w:eastAsia="方正黑体_GBK" w:cs="Nimbus Roman"/>
          <w:color w:val="auto"/>
          <w:sz w:val="32"/>
          <w:szCs w:val="32"/>
          <w:lang w:eastAsia="zh-CN"/>
        </w:rPr>
        <w:t>单位</w:t>
      </w:r>
      <w:r>
        <w:rPr>
          <w:rFonts w:hint="default" w:ascii="Nimbus Roman" w:hAnsi="Nimbus Roman" w:eastAsia="方正黑体_GBK" w:cs="Nimbus Roman"/>
          <w:color w:val="auto"/>
          <w:sz w:val="32"/>
          <w:szCs w:val="32"/>
        </w:rPr>
        <w:t>决算</w:t>
      </w:r>
      <w:r>
        <w:rPr>
          <w:rFonts w:hint="default" w:ascii="Nimbus Roman" w:hAnsi="Nimbus Roman" w:eastAsia="方正黑体_GBK" w:cs="Nimbus Roman"/>
          <w:color w:val="auto"/>
          <w:sz w:val="32"/>
          <w:szCs w:val="32"/>
          <w:lang w:eastAsia="zh-CN"/>
        </w:rPr>
        <w:t>收支</w:t>
      </w:r>
      <w:r>
        <w:rPr>
          <w:rFonts w:hint="default" w:ascii="Nimbus Roman" w:hAnsi="Nimbus Roman" w:eastAsia="方正黑体_GBK" w:cs="Nimbus Roman"/>
          <w:color w:val="auto"/>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1.总体情况。2024年度收入总计156万元，支出总计156万元。收、支与2023年度相比，增加156万元，增长100.0%，主要原因是本单位为新增事业单位，上年度无决算数据，本年度收、支分别为156万元。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收入情况。2024年度收入合计156万元，与2023年度相比，增加156万元，增长100.0%，主要原因是本单位为新增事业单位，上年度无决算数据，本年度收入为156万元。其中：财政拨款收入156万元，占100.0%；事业收入0万元，占0.0%；经营收入0万元，占0.0%；其他收入0万元，占0.0%。此外，使用非财政拨款结余和专用结余0万元，年初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3.支出情况。2024年度支出合计156万元，与2023年度相比，增加156万元，增长100.0%，主要原因是本单位为新增事业单位，上年度无决算数据。其中：基本支出154.76万元，占99.2%；项目支出1.24万元，占0.8%；经营支出0万元，占0.0%。此外，结余分配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4.结转结余情况。2024年度年末结转和结余0万元，与2023年度相比，无增减，主要原因是本单位为新增事业单位，上年度无结转和结余，2024年度收支平衡，无结转结余。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2024年度财政拨款收、支总计156万元。与2023年相比，财政拨款收、支总计各增加156万元，增长100.0%。主要原因是本单位为新增事业单位，上年度无财政拨款收、支，本年度财政拨款收、支分别为156万元。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1.收入情况。2024年度一般公共预算财政拨款收入156万元，与2023年度相比，增加156万元，增长100.0%。主要原因是本单位为新增事业单位，上年度无一般公共预算财政拨款收入，本年度一般公共预算财政拨款收入为156万元。较年初预算数增加30.65万元，增长24.5%。主要原因是社会保障和就业一般公共预算财政拨款收入增加38.94万元，卫生健康一般公共预算财政拨款收入减少1.39万元，城乡社区一般公共预算财政拨款收入减少6万元，住房保障一般公共预算财政拨款收入减少0.9万元。此外，年初财政拨款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支出情况。2024年度一般公共预算财政拨款支出156万元，与2023年度相比，增加156万元，增长100.0%。主要原因是本单位为新增事业单位，上年度无一般公共预算财政拨款支出，本年度一般公共预算财政拨款支出为156万元。较年初预算数增加30.65万元，增长24.5%。主要原因是社会保障和就业一般公共预算财政拨款支出增加38.94万元，卫生健康一般公共预算财政拨款支出减少1.39万元，城乡社区一般公共预算财政拨款支出减少6万元，住房保障一般公共预算财政拨款支出减少0.9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3.结转结余情况。2024年度年末一般公共预算财政拨款结转和结余0万元，与2023年度相比，无增减，主要原因是本单位为新增事业单位，上年度无结转和结余，2024年度收支平衡，无结转结余。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（1）社会保障与就业支出148.37万元，占95.11%，较年初预算数增加38.94万元，增长35.6%，主要原因是单位人员工资、津补贴、社保支出等增加38.94万元。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（2）卫生健康支出3.88万元，占2.49%，较年初预算数减少1.39万元，下降26.4%，主要原因是单位人员变动，行政事业单位医疗支出减少1.39万元。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（3）城乡社区支出0万元，占0.0%，较年初预算数减少6万元，下降100.0%，主要原因是2024年度本单位城乡社区支出减少6万元。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（3）住房保障支出3.75万元，占2.41%，较年初预算数减少0.9万元，下降19.4%，主要原因是单位人员变动，住房公积金支出减少0.56万元。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rPr>
        <w:t>（四）一般公共预算财政拨款基本支出决算情况说明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一般公共财政拨款基本支出154.76万元。其中：人员经费134.9万元，与2023年度相比，增加134.9万元，增长100.0%，主要原因是本单位为新增事业单位，上年度无人员经费支出，本年度人员经费支出为134.9万元。人员经费用途主要包括基本工资、津贴补贴、绩效工资、奖金、社会保障缴费、住房公积金、应休未休假报酬，退休人员生活补助等。公用经费19.85万元，与2023年度相比，增加19.85万元，增长100.0%，主要原因是本单位为新增事业单位，上年度无公用经费支出，本年度公用经费支出为19.85万元。公用经费用途主要包括办公费、水费、电费、邮电费、差旅费、租赁费、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rPr>
      </w:pPr>
      <w:r>
        <w:rPr>
          <w:rFonts w:hint="default" w:ascii="Nimbus Roman" w:hAnsi="Nimbus Roman" w:eastAsia="方正楷体_GBK" w:cs="Nimbus Roman"/>
          <w:color w:val="auto"/>
          <w:sz w:val="32"/>
          <w:szCs w:val="32"/>
          <w:lang w:eastAsia="zh-CN"/>
        </w:rPr>
        <w:t>（五）</w:t>
      </w:r>
      <w:r>
        <w:rPr>
          <w:rFonts w:hint="default" w:ascii="Nimbus Roman" w:hAnsi="Nimbus Roman" w:eastAsia="方正楷体_GBK" w:cs="Nimbus Roman"/>
          <w:color w:val="auto"/>
          <w:sz w:val="32"/>
          <w:szCs w:val="32"/>
        </w:rPr>
        <w:t>政府性基金预算收支决算情况说明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政府性基金预算财政拨款年初结转结余0万元，年末结转结余0万元。本年收入0万元，与2023年度相比，无增减，主要原因是本单位2024年度无政府性基金预算财政拨款收支。本年支出0万元，与2023年度相比，无增减，主要原因是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color w:val="auto"/>
          <w:sz w:val="32"/>
          <w:szCs w:val="32"/>
          <w:lang w:eastAsia="zh-CN"/>
        </w:rPr>
      </w:pPr>
      <w:r>
        <w:rPr>
          <w:rFonts w:hint="default" w:ascii="Nimbus Roman" w:hAnsi="Nimbus Roman" w:eastAsia="方正楷体_GBK" w:cs="Nimbus Roman"/>
          <w:color w:val="auto"/>
          <w:sz w:val="32"/>
          <w:szCs w:val="32"/>
          <w:lang w:eastAsia="zh-CN"/>
        </w:rPr>
        <w:t>（六）国有资本经营预算财政拨款支出决算情况说明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2024年度国有资本经营预算财政拨本年支出0万元，基本支出0万元，项目支出0万元，主要原因是本单位2024年度无国有资本经营预算财政拨款支出。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rPr>
      </w:pPr>
      <w:r>
        <w:rPr>
          <w:rFonts w:hint="default" w:ascii="Nimbus Roman" w:hAnsi="Nimbus Roman" w:eastAsia="方正黑体_GBK" w:cs="Nimbus Roman"/>
          <w:color w:val="auto"/>
          <w:sz w:val="32"/>
          <w:szCs w:val="32"/>
          <w:lang w:eastAsia="zh-CN"/>
        </w:rPr>
        <w:t>三、财政拨款</w:t>
      </w:r>
      <w:r>
        <w:rPr>
          <w:rFonts w:hint="default" w:ascii="Nimbus Roman" w:hAnsi="Nimbus Roman" w:eastAsia="方正黑体_GBK" w:cs="Nimbus Roman"/>
          <w:color w:val="auto"/>
          <w:sz w:val="32"/>
          <w:szCs w:val="32"/>
        </w:rPr>
        <w:t>“三公”经费情况说明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（一）“三公”经费支出总体情况说明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2024年度“三公”经费支出共计0万元，较年初预算数无增减，主要原因是本单位2024年度无“三公”经费支出。较上年支出数无增减，主要原因是本单位为新增事业单位，2024年度无“三公”经费支出。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（二）“三公”经费分项支出情况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本单位因公出国（境）费用0万元，费用支出较年初预算数无增减，主要原因是2024年度本单位无因公出国（境）支出。与2023年度相比，无增减，主要原因是本单位为新增事业单位，2024年度无因公出国（境）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公务车购置费0万元，费用支出较年初预算数无增减，主要原因是2024年度本单位未发生公务车购置费。与2023年度相比，无增减，主要原因是本单位为新增事业单位，2024年度无公务车购置费。</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公务车运行维护费0万元，费用支出较年初预算数无增减，主要原因是本单位未发生公务车运行维护费。与2023年度相比，无增减，主要原因是本单位为新增事业单位，2024年度无公务车运行维护费。</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公务接待费0万元，费用支出较年初预算数无增减，主要原因是本单位未发生公务接待费。较上年支出数无增减，主要原因是本单位为新增事业单位，2024年度无公务接待费。</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（三）“三公”经费实物量情况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lang w:eastAsia="zh-CN"/>
        </w:rPr>
      </w:pPr>
      <w:r>
        <w:rPr>
          <w:rFonts w:hint="default" w:ascii="Nimbus Roman" w:hAnsi="Nimbus Roman" w:eastAsia="方正黑体_GBK" w:cs="Nimbus Roman"/>
          <w:color w:val="auto"/>
          <w:sz w:val="32"/>
          <w:szCs w:val="32"/>
          <w:lang w:eastAsia="zh-CN"/>
        </w:rPr>
        <w:t>四、其他需要说明的事项</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 xml:space="preserve"> （一）财政拨款会议费和培训费情况说明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cs="Nimbus Roman"/>
          <w:color w:val="auto"/>
          <w:sz w:val="32"/>
          <w:szCs w:val="32"/>
        </w:rPr>
      </w:pPr>
      <w:r>
        <w:rPr>
          <w:rFonts w:hint="default" w:ascii="Nimbus Roman" w:hAnsi="Nimbus Roman" w:eastAsia="方正仿宋_GBK" w:cs="Nimbus Roman"/>
          <w:i w:val="0"/>
          <w:caps w:val="0"/>
          <w:color w:val="auto"/>
          <w:spacing w:val="0"/>
          <w:kern w:val="0"/>
          <w:sz w:val="32"/>
          <w:szCs w:val="32"/>
          <w:lang w:val="en-US" w:eastAsia="zh-CN" w:bidi="ar"/>
        </w:rPr>
        <w:t>本年度会议费支出0万元，与2023年度相比，无增减，主要原因是本单位为新增事业单位，2024年度无会议费支出。本年度培训费支出0.41万元，与2023年度相比，增加0.41万元，增长100.0%，主要原因是本单位为新增事业单位，上年无决算数据，2024年培训费支出0.41万元。</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（二）机关运行经费情况说明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2024年度本单位机关运行经费支出0万元，机关运行经费较上年支出数无增减，主要原因是</w:t>
      </w:r>
      <w:r>
        <w:rPr>
          <w:rFonts w:hint="default" w:ascii="Nimbus Roman" w:hAnsi="Nimbus Roman" w:eastAsia="方正仿宋_GBK" w:cs="Nimbus Roman"/>
          <w:i w:val="0"/>
          <w:caps w:val="0"/>
          <w:color w:val="auto"/>
          <w:spacing w:val="0"/>
          <w:kern w:val="0"/>
          <w:sz w:val="32"/>
          <w:szCs w:val="32"/>
          <w:lang w:val="en-US" w:eastAsia="zh-CN" w:bidi="ar"/>
        </w:rPr>
        <w:t>按照部门决算列报口径，我单位不在机关运行经费统计范围之内。</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（四）政府采购支出情况说明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0.0 %。主要原因是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lang w:val="en-US" w:eastAsia="zh-CN"/>
        </w:rPr>
      </w:pPr>
      <w:r>
        <w:rPr>
          <w:rFonts w:hint="default" w:ascii="Nimbus Roman" w:hAnsi="Nimbus Roman" w:eastAsia="方正黑体_GBK" w:cs="Nimbus Roman"/>
          <w:color w:val="auto"/>
          <w:sz w:val="32"/>
          <w:szCs w:val="32"/>
          <w:lang w:val="en-US" w:eastAsia="zh-CN"/>
        </w:rPr>
        <w:t>五、2024年度预算绩效管理情况说明</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（一）预算绩效管理工作开展情况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根据预算绩效管理要求，我单位对1个项目开展了绩效自评，其中，以填报自评表形式开展自评1项，涉及资金1.24万元；未委托第三方出具报告的方式开展绩效评价。</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（二）绩效自评结果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1.项目绩效自评表。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详见附件。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2.项目绩效自评报告或案例。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我单位未委托第三方开展绩效评价。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3.关于绩效自评结果的说明。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我单位对1项目进行绩效自评，其中1个已完成年度绩效目标，0个未完成年度绩效目标。</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Nimbus Roman" w:hAnsi="Nimbus Roman" w:eastAsia="方正楷体_GBK" w:cs="Nimbus Roman"/>
          <w:color w:val="auto"/>
          <w:sz w:val="32"/>
          <w:szCs w:val="32"/>
          <w:lang w:val="en-US" w:eastAsia="zh-CN" w:bidi="ar-SA"/>
        </w:rPr>
      </w:pPr>
      <w:r>
        <w:rPr>
          <w:rFonts w:hint="default" w:ascii="Nimbus Roman" w:hAnsi="Nimbus Roman" w:eastAsia="方正楷体_GBK" w:cs="Nimbus Roman"/>
          <w:color w:val="auto"/>
          <w:sz w:val="32"/>
          <w:szCs w:val="32"/>
          <w:lang w:val="en-US" w:eastAsia="zh-CN" w:bidi="ar-SA"/>
        </w:rPr>
        <w:t xml:space="preserve">（三）财政重点绩效评价情况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color w:val="auto"/>
          <w:sz w:val="32"/>
          <w:szCs w:val="32"/>
          <w:lang w:val="en-US" w:eastAsia="zh-CN"/>
        </w:rPr>
      </w:pPr>
      <w:r>
        <w:rPr>
          <w:rFonts w:hint="default" w:ascii="Nimbus Roman" w:hAnsi="Nimbus Roman" w:eastAsia="方正黑体_GBK" w:cs="Nimbus Roman"/>
          <w:color w:val="auto"/>
          <w:sz w:val="32"/>
          <w:szCs w:val="32"/>
          <w:lang w:val="en-US" w:eastAsia="zh-CN"/>
        </w:rPr>
        <w:t>六、专业名词解释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（一）财政拨款收入：</w:t>
      </w:r>
      <w:r>
        <w:rPr>
          <w:rFonts w:hint="default" w:ascii="Nimbus Roman" w:hAnsi="Nimbus Roman" w:eastAsia="方正仿宋_GBK" w:cs="Nimbus Roman"/>
          <w:i w:val="0"/>
          <w:caps w:val="0"/>
          <w:color w:val="auto"/>
          <w:spacing w:val="0"/>
          <w:kern w:val="0"/>
          <w:sz w:val="32"/>
          <w:szCs w:val="32"/>
          <w:lang w:val="en-US" w:eastAsia="zh-CN" w:bidi="ar"/>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（二）事业收入：</w:t>
      </w:r>
      <w:r>
        <w:rPr>
          <w:rFonts w:hint="default" w:ascii="Nimbus Roman" w:hAnsi="Nimbus Roman" w:eastAsia="方正仿宋_GBK" w:cs="Nimbus Roman"/>
          <w:i w:val="0"/>
          <w:caps w:val="0"/>
          <w:color w:val="auto"/>
          <w:spacing w:val="0"/>
          <w:kern w:val="0"/>
          <w:sz w:val="32"/>
          <w:szCs w:val="32"/>
          <w:lang w:val="en-US" w:eastAsia="zh-CN" w:bidi="ar"/>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（三）经营收入：</w:t>
      </w:r>
      <w:r>
        <w:rPr>
          <w:rFonts w:hint="default" w:ascii="Nimbus Roman" w:hAnsi="Nimbus Roman" w:eastAsia="方正仿宋_GBK" w:cs="Nimbus Roman"/>
          <w:i w:val="0"/>
          <w:caps w:val="0"/>
          <w:color w:val="auto"/>
          <w:spacing w:val="0"/>
          <w:kern w:val="0"/>
          <w:sz w:val="32"/>
          <w:szCs w:val="32"/>
          <w:lang w:val="en-US" w:eastAsia="zh-CN" w:bidi="ar"/>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color w:val="auto"/>
          <w:kern w:val="0"/>
          <w:sz w:val="32"/>
          <w:szCs w:val="32"/>
        </w:rPr>
      </w:pPr>
      <w:r>
        <w:rPr>
          <w:rFonts w:hint="default" w:ascii="Nimbus Roman" w:hAnsi="Nimbus Roman" w:eastAsia="方正楷体_GBK" w:cs="Nimbus Roman"/>
          <w:color w:val="auto"/>
          <w:sz w:val="32"/>
          <w:szCs w:val="32"/>
          <w:lang w:val="en-US" w:eastAsia="zh-CN" w:bidi="ar-SA"/>
        </w:rPr>
        <w:t>（四）其他收入：</w:t>
      </w:r>
      <w:r>
        <w:rPr>
          <w:rFonts w:hint="default" w:ascii="Nimbus Roman" w:hAnsi="Nimbus Roman" w:eastAsia="方正仿宋_GBK" w:cs="Nimbus Roman"/>
          <w:i w:val="0"/>
          <w:caps w:val="0"/>
          <w:color w:val="auto"/>
          <w:spacing w:val="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（五）使用非财政拨款结余：</w:t>
      </w:r>
      <w:r>
        <w:rPr>
          <w:rFonts w:hint="default" w:ascii="Nimbus Roman" w:hAnsi="Nimbus Roman" w:eastAsia="方正仿宋_GBK" w:cs="Nimbus Roman"/>
          <w:i w:val="0"/>
          <w:caps w:val="0"/>
          <w:color w:val="auto"/>
          <w:spacing w:val="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（六）年初结转和结余：</w:t>
      </w:r>
      <w:r>
        <w:rPr>
          <w:rFonts w:hint="default" w:ascii="Nimbus Roman" w:hAnsi="Nimbus Roman" w:eastAsia="方正仿宋_GBK" w:cs="Nimbus Roman"/>
          <w:i w:val="0"/>
          <w:caps w:val="0"/>
          <w:color w:val="auto"/>
          <w:spacing w:val="0"/>
          <w:kern w:val="0"/>
          <w:sz w:val="32"/>
          <w:szCs w:val="32"/>
          <w:lang w:val="en-US" w:eastAsia="zh-CN" w:bidi="ar"/>
        </w:rPr>
        <w:t>指单位上年结转本年使用的基本支出结转、项目支出结转和结余、经营结余。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（七）结余分配：</w:t>
      </w:r>
      <w:r>
        <w:rPr>
          <w:rFonts w:hint="default" w:ascii="Nimbus Roman" w:hAnsi="Nimbus Roman" w:eastAsia="方正仿宋_GBK" w:cs="Nimbus Roman"/>
          <w:i w:val="0"/>
          <w:caps w:val="0"/>
          <w:color w:val="auto"/>
          <w:spacing w:val="0"/>
          <w:kern w:val="0"/>
          <w:sz w:val="32"/>
          <w:szCs w:val="32"/>
          <w:lang w:val="en-US" w:eastAsia="zh-CN" w:bidi="ar"/>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（八）年末结转和结余：</w:t>
      </w:r>
      <w:r>
        <w:rPr>
          <w:rFonts w:hint="default" w:ascii="Nimbus Roman" w:hAnsi="Nimbus Roman" w:eastAsia="方正仿宋_GBK" w:cs="Nimbus Roman"/>
          <w:i w:val="0"/>
          <w:caps w:val="0"/>
          <w:color w:val="auto"/>
          <w:spacing w:val="0"/>
          <w:kern w:val="0"/>
          <w:sz w:val="32"/>
          <w:szCs w:val="32"/>
          <w:lang w:val="en-US" w:eastAsia="zh-CN" w:bidi="ar"/>
        </w:rPr>
        <w:t>指单位结转下年的基本支出结转、项目支出结转和结余、经营结余。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（九）基本支出：</w:t>
      </w:r>
      <w:r>
        <w:rPr>
          <w:rFonts w:hint="default" w:ascii="Nimbus Roman" w:hAnsi="Nimbus Roman" w:eastAsia="方正仿宋_GBK" w:cs="Nimbus Roman"/>
          <w:i w:val="0"/>
          <w:caps w:val="0"/>
          <w:color w:val="auto"/>
          <w:spacing w:val="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（十）项目支出：</w:t>
      </w:r>
      <w:r>
        <w:rPr>
          <w:rFonts w:hint="default" w:ascii="Nimbus Roman" w:hAnsi="Nimbus Roman" w:eastAsia="方正仿宋_GBK" w:cs="Nimbus Roman"/>
          <w:i w:val="0"/>
          <w:caps w:val="0"/>
          <w:color w:val="auto"/>
          <w:spacing w:val="0"/>
          <w:kern w:val="0"/>
          <w:sz w:val="32"/>
          <w:szCs w:val="32"/>
          <w:lang w:val="en-US" w:eastAsia="zh-CN" w:bidi="ar"/>
        </w:rPr>
        <w:t>指在基本支出之外为完成特定行政任务和事业发展目标所发生的支出。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（十一）经营支出：</w:t>
      </w:r>
      <w:r>
        <w:rPr>
          <w:rFonts w:hint="default" w:ascii="Nimbus Roman" w:hAnsi="Nimbus Roman" w:eastAsia="方正仿宋_GBK" w:cs="Nimbus Roman"/>
          <w:i w:val="0"/>
          <w:caps w:val="0"/>
          <w:color w:val="auto"/>
          <w:spacing w:val="0"/>
          <w:kern w:val="0"/>
          <w:sz w:val="32"/>
          <w:szCs w:val="32"/>
          <w:lang w:val="en-US" w:eastAsia="zh-CN" w:bidi="ar"/>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（十二）“三公”经费：</w:t>
      </w:r>
      <w:r>
        <w:rPr>
          <w:rFonts w:hint="default" w:ascii="Nimbus Roman" w:hAnsi="Nimbus Roman" w:eastAsia="方正仿宋_GBK" w:cs="Nimbus Roman"/>
          <w:i w:val="0"/>
          <w:caps w:val="0"/>
          <w:color w:val="auto"/>
          <w:spacing w:val="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（十三）机关运行经费：</w:t>
      </w:r>
      <w:r>
        <w:rPr>
          <w:rFonts w:hint="default" w:ascii="Nimbus Roman" w:hAnsi="Nimbus Roman" w:eastAsia="方正仿宋_GBK" w:cs="Nimbus Roman"/>
          <w:i w:val="0"/>
          <w:caps w:val="0"/>
          <w:color w:val="auto"/>
          <w:spacing w:val="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（十四）工资福利支出（支出经济分类科目类级）：</w:t>
      </w:r>
      <w:r>
        <w:rPr>
          <w:rFonts w:hint="default" w:ascii="Nimbus Roman" w:hAnsi="Nimbus Roman" w:eastAsia="方正仿宋_GBK" w:cs="Nimbus Roman"/>
          <w:i w:val="0"/>
          <w:caps w:val="0"/>
          <w:color w:val="auto"/>
          <w:spacing w:val="0"/>
          <w:kern w:val="0"/>
          <w:sz w:val="32"/>
          <w:szCs w:val="32"/>
          <w:lang w:val="en-US" w:eastAsia="zh-CN" w:bidi="ar"/>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（十五）商品和服务支出（支出经济分类科目类级）：</w:t>
      </w:r>
      <w:r>
        <w:rPr>
          <w:rFonts w:hint="default" w:ascii="Nimbus Roman" w:hAnsi="Nimbus Roman" w:eastAsia="方正仿宋_GBK" w:cs="Nimbus Roman"/>
          <w:i w:val="0"/>
          <w:caps w:val="0"/>
          <w:color w:val="auto"/>
          <w:spacing w:val="0"/>
          <w:kern w:val="0"/>
          <w:sz w:val="32"/>
          <w:szCs w:val="32"/>
          <w:lang w:val="en-US" w:eastAsia="zh-CN" w:bidi="ar"/>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（十六）对个人和家庭的补助（支出经济分类科目类级）：</w:t>
      </w:r>
      <w:r>
        <w:rPr>
          <w:rFonts w:hint="default" w:ascii="Nimbus Roman" w:hAnsi="Nimbus Roman" w:eastAsia="方正仿宋_GBK" w:cs="Nimbus Roman"/>
          <w:i w:val="0"/>
          <w:caps w:val="0"/>
          <w:color w:val="auto"/>
          <w:spacing w:val="0"/>
          <w:kern w:val="0"/>
          <w:sz w:val="32"/>
          <w:szCs w:val="32"/>
          <w:lang w:val="en-US" w:eastAsia="zh-CN" w:bidi="ar"/>
        </w:rPr>
        <w:t>反映用于对个人和家庭的补助支出。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楷体_GBK" w:cs="Nimbus Roman"/>
          <w:color w:val="auto"/>
          <w:sz w:val="32"/>
          <w:szCs w:val="32"/>
          <w:lang w:val="en-US" w:eastAsia="zh-CN" w:bidi="ar-SA"/>
        </w:rPr>
        <w:t>（十七）其他资本性支出（支出经济分类科目类级）：</w:t>
      </w:r>
      <w:r>
        <w:rPr>
          <w:rFonts w:hint="default" w:ascii="Nimbus Roman" w:hAnsi="Nimbus Roman" w:eastAsia="方正仿宋_GBK" w:cs="Nimbus Roman"/>
          <w:i w:val="0"/>
          <w:caps w:val="0"/>
          <w:color w:val="auto"/>
          <w:spacing w:val="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Nimbus Roman" w:hAnsi="Nimbus Roman" w:eastAsia="方正黑体_GBK" w:cs="Nimbus Roman"/>
          <w:color w:val="auto"/>
          <w:sz w:val="32"/>
          <w:szCs w:val="32"/>
          <w:lang w:val="en-US" w:eastAsia="zh-CN" w:bidi="ar-SA"/>
        </w:rPr>
      </w:pPr>
      <w:r>
        <w:rPr>
          <w:rFonts w:hint="default" w:ascii="Nimbus Roman" w:hAnsi="Nimbus Roman" w:eastAsia="方正黑体_GBK" w:cs="Nimbus Roman"/>
          <w:color w:val="auto"/>
          <w:sz w:val="32"/>
          <w:szCs w:val="32"/>
          <w:lang w:val="en-US" w:eastAsia="zh-CN" w:bidi="ar-SA"/>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r>
        <w:rPr>
          <w:rFonts w:hint="default" w:ascii="Nimbus Roman" w:hAnsi="Nimbus Roman" w:eastAsia="方正仿宋_GBK" w:cs="Nimbus Roman"/>
          <w:i w:val="0"/>
          <w:caps w:val="0"/>
          <w:color w:val="auto"/>
          <w:spacing w:val="0"/>
          <w:kern w:val="0"/>
          <w:sz w:val="32"/>
          <w:szCs w:val="32"/>
          <w:lang w:val="en-US" w:eastAsia="zh-CN" w:bidi="ar"/>
        </w:rPr>
        <w:t>本单位决算公开信息反馈和联系方式：赖静023-45625433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K" w:cs="Nimbus Roman"/>
          <w:i w:val="0"/>
          <w:caps w:val="0"/>
          <w:color w:val="auto"/>
          <w:spacing w:val="0"/>
          <w:kern w:val="0"/>
          <w:sz w:val="32"/>
          <w:szCs w:val="32"/>
          <w:lang w:val="en-US" w:eastAsia="zh-CN" w:bidi="ar"/>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77760A"/>
    <w:rsid w:val="01F3521E"/>
    <w:rsid w:val="0345300D"/>
    <w:rsid w:val="03E3214F"/>
    <w:rsid w:val="04446191"/>
    <w:rsid w:val="044C50BA"/>
    <w:rsid w:val="04E26AA3"/>
    <w:rsid w:val="04F231CB"/>
    <w:rsid w:val="06A2550B"/>
    <w:rsid w:val="06A51965"/>
    <w:rsid w:val="06F80EE2"/>
    <w:rsid w:val="07001CCA"/>
    <w:rsid w:val="075678DB"/>
    <w:rsid w:val="07A6524F"/>
    <w:rsid w:val="08051BCA"/>
    <w:rsid w:val="08887FC5"/>
    <w:rsid w:val="08B84F60"/>
    <w:rsid w:val="08BA052C"/>
    <w:rsid w:val="08DB07BA"/>
    <w:rsid w:val="098305D0"/>
    <w:rsid w:val="09B72B6E"/>
    <w:rsid w:val="0A3851D8"/>
    <w:rsid w:val="0A5C4B69"/>
    <w:rsid w:val="0AEC3BC7"/>
    <w:rsid w:val="0B9335CE"/>
    <w:rsid w:val="0C7927C4"/>
    <w:rsid w:val="0C9B098C"/>
    <w:rsid w:val="0CA40260"/>
    <w:rsid w:val="0D11728C"/>
    <w:rsid w:val="0D673E11"/>
    <w:rsid w:val="0DB50EFE"/>
    <w:rsid w:val="0DDA54E4"/>
    <w:rsid w:val="0E3A5F83"/>
    <w:rsid w:val="0F836721"/>
    <w:rsid w:val="0FCE6A44"/>
    <w:rsid w:val="0FFEFA6C"/>
    <w:rsid w:val="103645A3"/>
    <w:rsid w:val="107B59E5"/>
    <w:rsid w:val="11003CB0"/>
    <w:rsid w:val="111445C7"/>
    <w:rsid w:val="1158083A"/>
    <w:rsid w:val="11F03528"/>
    <w:rsid w:val="12C921C4"/>
    <w:rsid w:val="13850DCB"/>
    <w:rsid w:val="13871C70"/>
    <w:rsid w:val="13906D03"/>
    <w:rsid w:val="13A71CB4"/>
    <w:rsid w:val="13AF1D43"/>
    <w:rsid w:val="13C643C6"/>
    <w:rsid w:val="13CE1647"/>
    <w:rsid w:val="141A11EA"/>
    <w:rsid w:val="14200702"/>
    <w:rsid w:val="14725C14"/>
    <w:rsid w:val="148E377E"/>
    <w:rsid w:val="1580711B"/>
    <w:rsid w:val="15D81E75"/>
    <w:rsid w:val="189B0D0B"/>
    <w:rsid w:val="194A1770"/>
    <w:rsid w:val="19917D9C"/>
    <w:rsid w:val="199A10EC"/>
    <w:rsid w:val="19B906A4"/>
    <w:rsid w:val="1A1F744B"/>
    <w:rsid w:val="1A4854EC"/>
    <w:rsid w:val="1B6F15B6"/>
    <w:rsid w:val="1BAA2EDC"/>
    <w:rsid w:val="1C277424"/>
    <w:rsid w:val="1CE157EE"/>
    <w:rsid w:val="1D014A01"/>
    <w:rsid w:val="1D022362"/>
    <w:rsid w:val="1DD26311"/>
    <w:rsid w:val="1EF67CA4"/>
    <w:rsid w:val="1FCD26AF"/>
    <w:rsid w:val="1FE8257E"/>
    <w:rsid w:val="20642787"/>
    <w:rsid w:val="21556F04"/>
    <w:rsid w:val="22403BD3"/>
    <w:rsid w:val="229F0C6F"/>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7F0171"/>
    <w:rsid w:val="2FE029D7"/>
    <w:rsid w:val="2FF06E00"/>
    <w:rsid w:val="315D199F"/>
    <w:rsid w:val="315F0B22"/>
    <w:rsid w:val="31D84415"/>
    <w:rsid w:val="32285F6F"/>
    <w:rsid w:val="32770556"/>
    <w:rsid w:val="329C0913"/>
    <w:rsid w:val="3337290D"/>
    <w:rsid w:val="352930DB"/>
    <w:rsid w:val="35573069"/>
    <w:rsid w:val="358C217E"/>
    <w:rsid w:val="359F188C"/>
    <w:rsid w:val="36064C36"/>
    <w:rsid w:val="362D2433"/>
    <w:rsid w:val="36825BFF"/>
    <w:rsid w:val="36C9128A"/>
    <w:rsid w:val="36FB06C7"/>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02B4"/>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A8304E"/>
    <w:rsid w:val="443A3B12"/>
    <w:rsid w:val="44A854C2"/>
    <w:rsid w:val="44DD597D"/>
    <w:rsid w:val="44EF4280"/>
    <w:rsid w:val="465B470D"/>
    <w:rsid w:val="469D6AD4"/>
    <w:rsid w:val="46A54FCC"/>
    <w:rsid w:val="46FC41C7"/>
    <w:rsid w:val="47674801"/>
    <w:rsid w:val="48225EF7"/>
    <w:rsid w:val="495C4A24"/>
    <w:rsid w:val="4ACD6B66"/>
    <w:rsid w:val="4AD70EE7"/>
    <w:rsid w:val="4B7951CB"/>
    <w:rsid w:val="4B7C315C"/>
    <w:rsid w:val="4BAB7F90"/>
    <w:rsid w:val="4DAC4ACA"/>
    <w:rsid w:val="4F186D58"/>
    <w:rsid w:val="4F80031B"/>
    <w:rsid w:val="502A78C1"/>
    <w:rsid w:val="50EC262C"/>
    <w:rsid w:val="522F6E0C"/>
    <w:rsid w:val="52463BA1"/>
    <w:rsid w:val="53706690"/>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121637"/>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0C0F71"/>
    <w:rsid w:val="64FB113D"/>
    <w:rsid w:val="654103F1"/>
    <w:rsid w:val="654E4D38"/>
    <w:rsid w:val="656152C6"/>
    <w:rsid w:val="6587477F"/>
    <w:rsid w:val="658C3A08"/>
    <w:rsid w:val="65C031CA"/>
    <w:rsid w:val="65CE6852"/>
    <w:rsid w:val="66267C04"/>
    <w:rsid w:val="663F505A"/>
    <w:rsid w:val="665C1999"/>
    <w:rsid w:val="667F2393"/>
    <w:rsid w:val="66EE5541"/>
    <w:rsid w:val="681E01CD"/>
    <w:rsid w:val="692172FD"/>
    <w:rsid w:val="6A3829EE"/>
    <w:rsid w:val="6B474EF5"/>
    <w:rsid w:val="6C560CAE"/>
    <w:rsid w:val="6CFEB3B0"/>
    <w:rsid w:val="6D0615E4"/>
    <w:rsid w:val="6D903FF5"/>
    <w:rsid w:val="6DA955B8"/>
    <w:rsid w:val="6DE346AB"/>
    <w:rsid w:val="6DFDBA61"/>
    <w:rsid w:val="6F5C56C7"/>
    <w:rsid w:val="6F7F6A2D"/>
    <w:rsid w:val="6FB442D1"/>
    <w:rsid w:val="6FF27490"/>
    <w:rsid w:val="6FFB2E76"/>
    <w:rsid w:val="71C34D91"/>
    <w:rsid w:val="71ED38AA"/>
    <w:rsid w:val="720229AA"/>
    <w:rsid w:val="72DB435C"/>
    <w:rsid w:val="73C2698E"/>
    <w:rsid w:val="750837F0"/>
    <w:rsid w:val="764F62AB"/>
    <w:rsid w:val="765C45EC"/>
    <w:rsid w:val="768A7619"/>
    <w:rsid w:val="76E14979"/>
    <w:rsid w:val="77EA362A"/>
    <w:rsid w:val="782B7F35"/>
    <w:rsid w:val="7875383E"/>
    <w:rsid w:val="790A137C"/>
    <w:rsid w:val="796D60A4"/>
    <w:rsid w:val="79A031D5"/>
    <w:rsid w:val="7A1525F7"/>
    <w:rsid w:val="7A3E6CB6"/>
    <w:rsid w:val="7A632834"/>
    <w:rsid w:val="7A680D2D"/>
    <w:rsid w:val="7B260559"/>
    <w:rsid w:val="7B420052"/>
    <w:rsid w:val="7BD06A28"/>
    <w:rsid w:val="7C1E4CD7"/>
    <w:rsid w:val="7C3A7C0B"/>
    <w:rsid w:val="7C5248E4"/>
    <w:rsid w:val="7C566698"/>
    <w:rsid w:val="7D6FA9A7"/>
    <w:rsid w:val="7FA960B8"/>
    <w:rsid w:val="ADB1B5D2"/>
    <w:rsid w:val="FF2F3693"/>
    <w:rsid w:val="FFEFF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4945</Words>
  <Characters>5406</Characters>
  <Lines>161</Lines>
  <Paragraphs>45</Paragraphs>
  <TotalTime>2</TotalTime>
  <ScaleCrop>false</ScaleCrop>
  <LinksUpToDate>false</LinksUpToDate>
  <CharactersWithSpaces>5416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ROOT</cp:lastModifiedBy>
  <dcterms:modified xsi:type="dcterms:W3CDTF">2025-10-29T14:29:49Z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9EDAFD8FD9424A54844071572B3E9A06_13</vt:lpwstr>
  </property>
  <property fmtid="{D5CDD505-2E9C-101B-9397-08002B2CF9AE}" pid="4" name="KSOTemplateDocerSaveRecord">
    <vt:lpwstr>eyJoZGlkIjoiMzFhZWZlNzdkMjViYTM0OGM0ZmIwMDNhNTc1NmJjOTYiLCJ1c2VySWQiOiI4NjEzNjI1NjEifQ==</vt:lpwstr>
  </property>
</Properties>
</file>