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重庆市铜梁区土桥镇人民政府（本级）</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黑体_GBK" w:hAnsi="方正黑体_GBK" w:eastAsia="方正黑体_GBK" w:cs="方正黑体_GBK"/>
          <w:color w:val="auto"/>
          <w:sz w:val="32"/>
          <w:szCs w:val="32"/>
          <w:lang w:eastAsia="zh-CN"/>
        </w:rPr>
      </w:pP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bookmarkStart w:id="1" w:name="_GoBack"/>
      <w:bookmarkEnd w:id="1"/>
      <w:r>
        <w:rPr>
          <w:rFonts w:hint="eastAsia" w:ascii="方正黑体_GBK" w:hAnsi="方正黑体_GBK" w:eastAsia="方正黑体_GBK" w:cs="方正黑体_GBK"/>
          <w:color w:val="auto"/>
          <w:sz w:val="32"/>
          <w:szCs w:val="32"/>
          <w:lang w:eastAsia="zh-CN"/>
        </w:rPr>
        <w:t>一、单位</w:t>
      </w:r>
      <w:r>
        <w:rPr>
          <w:rFonts w:hint="eastAsia" w:ascii="方正黑体_GBK" w:hAnsi="方正黑体_GBK" w:eastAsia="方正黑体_GBK" w:cs="方正黑体_GBK"/>
          <w:color w:val="auto"/>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1.贯彻执行党和国家各项方针、政策、法律、法规；负责辖区内的地区性、群众性、公益性、社会性工作。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3.制定并组织实施村镇建设规划，部署重点工程建设，地方道路建设及公共设施，水利设施的管理，负责土地、林木、水等自然资源和生态环境的保护，做好护林防火工作。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4.负责本行政区域内的民政、文化教育、卫生、体育等社会公益事业的综合性工作，维护一切经济单位和个人的正当经济权益，取缔非法经济活动，调解和处理民事纠纷，打击刑事犯罪维护社会稳定。</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5.按计划组织本级财政收入和地方税的征收，完成国家财政计划，不断培植税源，管好财政资金，增强财政实力。</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6.抓好精神文明建设，丰富群众文化生活，提倡移风易俗，反对封建迷信，破除陈规陋习，树立社会主义新风尚。</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7.完成上级政府交办的其他事项。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重庆市铜梁区土桥镇人民政府（本级）设8个内设机构分别为：党政办公室、党群工作办公室，经济发展办公室，民政和社会事务办公室，平安建设办公室，规划建设管理环保办公室，财政办公室，应急管理办公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二、单位决算收支情况说明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方正仿宋_GBK" w:hAnsi="方正仿宋_GBK" w:eastAsia="方正仿宋_GBK" w:cs="方正仿宋_GBK"/>
          <w:i w:val="0"/>
          <w:caps w:val="0"/>
          <w:color w:val="auto"/>
          <w:spacing w:val="0"/>
          <w:kern w:val="0"/>
          <w:sz w:val="32"/>
          <w:szCs w:val="32"/>
          <w:lang w:val="en-US" w:eastAsia="zh-CN" w:bidi="ar"/>
        </w:rPr>
        <w:t>1.总体情况。2024年度收入总计1814.58万元，支出总计1814.58万元。收、支与2023年度相比，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文化旅游支出19.59万元，荷和原乡管理经费41.81万元，城乡建设及保洁费137.53万元，民政工作经费减少10.76万元，信访经费3.76万元，年中压减收入40万元。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i w:val="0"/>
          <w:caps w:val="0"/>
          <w:color w:val="auto"/>
          <w:spacing w:val="0"/>
          <w:kern w:val="0"/>
          <w:sz w:val="32"/>
          <w:szCs w:val="32"/>
          <w:lang w:val="en-US" w:eastAsia="zh-CN" w:bidi="ar"/>
        </w:rPr>
        <w:t>2024年度收入合计1814.58万元，与2023年度相比，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收入40万元。其中：财政拨款收入1814.58万元，占100.0%；事业收入0万元，占0.0%；经营收入0万元，占0.00%；其他收入0万元，占0.0%。此外，使用非财政拨款结余和专用结余0万元，年初结转和结余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3.支出情况。</w:t>
      </w:r>
      <w:r>
        <w:rPr>
          <w:rFonts w:hint="eastAsia" w:ascii="方正仿宋_GBK" w:hAnsi="方正仿宋_GBK" w:eastAsia="方正仿宋_GBK" w:cs="方正仿宋_GBK"/>
          <w:b w:val="0"/>
          <w:bCs/>
          <w:i w:val="0"/>
          <w:caps w:val="0"/>
          <w:color w:val="auto"/>
          <w:spacing w:val="0"/>
          <w:kern w:val="0"/>
          <w:sz w:val="32"/>
          <w:szCs w:val="32"/>
          <w:lang w:val="en-US" w:eastAsia="zh-CN" w:bidi="ar"/>
        </w:rPr>
        <w:t>2</w:t>
      </w:r>
      <w:r>
        <w:rPr>
          <w:rFonts w:hint="eastAsia" w:ascii="方正仿宋_GBK" w:hAnsi="方正仿宋_GBK" w:eastAsia="方正仿宋_GBK" w:cs="方正仿宋_GBK"/>
          <w:i w:val="0"/>
          <w:caps w:val="0"/>
          <w:color w:val="auto"/>
          <w:spacing w:val="0"/>
          <w:kern w:val="0"/>
          <w:sz w:val="32"/>
          <w:szCs w:val="32"/>
          <w:lang w:val="en-US" w:eastAsia="zh-CN" w:bidi="ar"/>
        </w:rPr>
        <w:t>024年度支出合计1814.58万元，与2023年度相比，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支出40万元。其中：基本支出859.99万元，占47.39%；项目支出954.6万元，占52.61%；经营支出0万元，占0.0%。此外，结余分配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4.结转结余情况。</w:t>
      </w:r>
      <w:r>
        <w:rPr>
          <w:rFonts w:hint="eastAsia" w:ascii="方正仿宋_GBK" w:hAnsi="方正仿宋_GBK" w:eastAsia="方正仿宋_GBK" w:cs="方正仿宋_GBK"/>
          <w:i w:val="0"/>
          <w:caps w:val="0"/>
          <w:color w:val="auto"/>
          <w:spacing w:val="0"/>
          <w:kern w:val="0"/>
          <w:sz w:val="32"/>
          <w:szCs w:val="32"/>
          <w:lang w:val="en-US" w:eastAsia="zh-CN" w:bidi="ar"/>
        </w:rPr>
        <w:t>2024年度年末结转和结余0万元，与2023年度相比，无增减，主要原因是上年度无结转和结余，2024年度也无结转转和结余。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（二）财政拨款收入支出决算总体情况说明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财政拨款收、支总计1814.58万元。与2023年相比，财政拨款收、支总计各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文化旅游支出19.59万元，荷和原乡管理经费41.81万元，城乡建设及保洁费137.53万元，民政工作经费减少10.76万元，信访经费3.76万元，年中压减收入40万元。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（三）一般公共预算财政拨款收入支出决算情况说明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i w:val="0"/>
          <w:caps w:val="0"/>
          <w:color w:val="auto"/>
          <w:spacing w:val="0"/>
          <w:kern w:val="0"/>
          <w:sz w:val="32"/>
          <w:szCs w:val="32"/>
          <w:lang w:val="en-US" w:eastAsia="zh-CN" w:bidi="ar"/>
        </w:rPr>
        <w:t>2024年度一般公共预算财政拨款收入1814.58万元，与2023年度相比，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预算收入40万元。较年初预算数减少113.19万元，下降5.9%。主要原因是：（1）基本支出减少18.97万元，其中人员经费减少10.27万元，公用经费减少8.7万元；（2）项目经费减少94.22万元。此外，年初财政拨款结转和结余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w:t>
      </w:r>
      <w:r>
        <w:rPr>
          <w:rFonts w:hint="eastAsia" w:ascii="方正仿宋_GBK" w:hAnsi="方正仿宋_GBK" w:eastAsia="方正仿宋_GBK" w:cs="方正仿宋_GBK"/>
          <w:i w:val="0"/>
          <w:caps w:val="0"/>
          <w:color w:val="auto"/>
          <w:spacing w:val="0"/>
          <w:kern w:val="0"/>
          <w:sz w:val="32"/>
          <w:szCs w:val="32"/>
          <w:lang w:val="en-US" w:eastAsia="zh-CN" w:bidi="ar"/>
        </w:rPr>
        <w:t>024年度一般公共预算财政拨款支出1814.58万元，与2023年度相比，减少2143.59万元，下降54.2%。主要原因是：（1）本年度事业单位7站8所31人经费独立核算，减少925.22万元；（2）政府本级减少1218.36万元，主要包括：人员经费中本年度无丧葬费，减少5.69万元；本年度无特殊人员清算及人员工资、绩效、保险、公积金等年度正常变动，人员经费减少94.11万元；公用经费中减少工会经费56.09万元，办公费6.22万元，邮电费8.03万元，差旅费17.7万元，劳务费9.79万元，其他商品服务支出39.67万元等；项目经费中减少四好农路建设278.87万元，服务群众专项经费28万元，村社区办公经费38万元，泥结石路326.03万元，乡村道路养护44.5万元，人大经费12.21万元， 文化旅游支出19.59万元，荷和原乡管理经费41.81万元，城乡建设及保洁费137.53万元，民政工作经费减少10.76万元，信访经费3.76万元，年中压减预算支出40万元。较年初预算数减少113.19万元，下降5.9%。主要原因是：（1）基本支出减少18.97万元，其中人员经费减少10.27万元，公用经费减少8.7万元；（2）项目经费减少94.22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i w:val="0"/>
          <w:caps w:val="0"/>
          <w:color w:val="auto"/>
          <w:spacing w:val="0"/>
          <w:kern w:val="0"/>
          <w:sz w:val="32"/>
          <w:szCs w:val="32"/>
          <w:lang w:val="en-US" w:eastAsia="zh-CN" w:bidi="ar"/>
        </w:rPr>
        <w:t>2024年度年末一般公共预算财政拨款结转和结余0万元，与2023年度相比，无增减，主要原因是上年度一般公共预算财政拨款无结转和结余，2024年度也无结转转和结余。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color w:val="auto"/>
          <w:sz w:val="32"/>
          <w:szCs w:val="32"/>
          <w:shd w:val="clear" w:color="auto" w:fill="FFFFFF"/>
        </w:rPr>
        <w:t xml:space="preserve"> </w:t>
      </w:r>
      <w:r>
        <w:rPr>
          <w:rStyle w:val="7"/>
          <w:rFonts w:ascii="方正仿宋_GBK" w:hAnsi="方正仿宋_GBK" w:eastAsia="方正仿宋_GBK" w:cs="方正仿宋_GBK"/>
          <w:b w:val="0"/>
          <w:bCs/>
          <w:color w:val="auto"/>
          <w:sz w:val="32"/>
          <w:szCs w:val="32"/>
          <w:shd w:val="clear" w:color="auto" w:fill="FFFFFF"/>
        </w:rPr>
        <w:t>4.比较情况。</w:t>
      </w:r>
      <w:r>
        <w:rPr>
          <w:rFonts w:hint="eastAsia" w:ascii="方正仿宋_GBK" w:hAnsi="方正仿宋_GBK" w:eastAsia="方正仿宋_GBK" w:cs="方正仿宋_GBK"/>
          <w:i w:val="0"/>
          <w:caps w:val="0"/>
          <w:color w:val="auto"/>
          <w:spacing w:val="0"/>
          <w:kern w:val="0"/>
          <w:sz w:val="32"/>
          <w:szCs w:val="32"/>
          <w:lang w:val="en-US" w:eastAsia="zh-CN" w:bidi="ar"/>
        </w:rPr>
        <w:t>本单位2024年度一般公共预算财政拨款支出主要用于以下几个方面：</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（1）一般公共服务支出690.77万元，占38.07%，较年初预算数减少52.02万元，下降7.0%，主要原因是：人大会议支出减少17.21万元，行政运行支出减少7.71万元，一般行政管理支出减少24.39万元，信访支出减少2.71万元。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文化旅游体育与传媒支出2.74万元，占0.15%，较年初预算数增加2.74万元，增长100.0%，主要原因是：文化旅游体育业高质量发展扶持资金支出增加2万元，文化服务中心免费开放支出增加0.42万元，文物保护支出增加0.32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社会保障与就业支出171.02万元，占9.42%，较年初预算数增加16.05万元，增长10.4%，主要原因是：单位职工养老保险支出增加6.14万元，原乡镇农机站聘用制干部生活困难补助增加1.68万元，临时救助支出增加8.23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（4）卫生健康支出37.93万元，占2.09%，较年初预算数减少19.08万元，下降33.5%，主要原因是：公务员医疗补助缴费减少11.35万元，职工医疗保险支出减少7.73万元。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（5）节能环保支出49.55万元，占2.73%，较年初预算数增加49.55万元，增长100.0%，主要原因是：市政环卫支出增加49.55万元。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6）城乡社区支出110.32万元，占6.08%，较年初预算数减少147.51万元，下降57.2%，主要原因是：城乡社区环境卫生支出按要求调整85.75万元到环保支出，荷和原乡维护管理、应急管理、河长制支出合计减少61.76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（7）农林水支出635.01万元，占34.99%，较年初预算数增加1.7万元，增长0.3%，主要原因是：三支一扶人员经费支出减少0.39万元，村干部补助支出减少54.45万元，一事一议支出增加53.14万元。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 xml:space="preserve">（8）交通运输支出15.8万元，占0.87%，较年初预算数减少4.2万元，下降21.0%，主要原因是：公路养护支出减少15万元，四好农村公路建设支出增加10.8万元。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（9）住房保障支出52.45万元，占2.89%，较年初预算数无增减。</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（10）灾害防治及应急管理支出48.98万元，占2.7%，较年初预算数增加39.58万元，增长421.1%，主要原因是：抗旱防汛专项支出增加42.48万元，临聘消防人员支出增加6.5万元，其他应急管理支出减少9.4万元。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 2024年度一般公共财政拨款基本支出859.99万元。其中：人员经费731.95万元，与2023年度相比，减少840.1万元，下降53.4%，主要原因是：（1）本年度事业单位7站8所独立核算，减少740.3万元；（2）政府本级减少99.8万元，其中：本年度无丧葬费，减少5.69万元，本年度无特殊人员清算及人员工资、绩效、保险、公积金等年度正常变动，人员经费减少94.11万元。人员经费用途主要包括基本工资、津贴补贴、绩效工资、奖金、社会保障缴费、住房公积金、应休未休假报酬，退休人员生活补助等。公用经费128.04万元，与2023年度相比，减少246.94万元，下降65.9%，主要原因是：（1）本年度事业单位7站8所独立核算，减少109.43万元；（2）政府本级减少137.5万元，其中工会经费56.09万元，办公费6.22万元，邮电费8.03万元，差旅费17.7万元，劳务费9.79万元，其他商品服务支出39.67万元等。公用经费用途主要包括办公费、水费、电费、邮电费、差旅费、维修（护）费、租赁费、会议费、培训费、公务接待费、劳务费、工会经费、其他交通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政府性基金预算财政拨款年初结转结余0万元，年末结转结余0万元。本年收入0万元，与2023年度相比，无增减主要原因是上年度无政府性基金预算财政拨款结转结余。本年支出0万元，与2023年度相比，无增减。原因是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 2024年度国有资本经营预算财政拨本年支出0万元，基本支出0万元，项目支出0万元，主要原因是本单位2024年度无国有资本经营预算财政拨款支出。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三、财政拨款“三公”经费情况说明</w:t>
      </w:r>
    </w:p>
    <w:p>
      <w:pPr>
        <w:pStyle w:val="9"/>
        <w:keepNext w:val="0"/>
        <w:keepLines w:val="0"/>
        <w:pageBreakBefore w:val="0"/>
        <w:widowControl/>
        <w:kinsoku/>
        <w:wordWrap/>
        <w:overflowPunct/>
        <w:topLinePunct w:val="0"/>
        <w:autoSpaceDE w:val="0"/>
        <w:autoSpaceDN/>
        <w:bidi w:val="0"/>
        <w:adjustRightInd/>
        <w:spacing w:line="560" w:lineRule="exact"/>
        <w:ind w:firstLine="643"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楷体" w:hAnsi="楷体" w:eastAsia="楷体" w:cs="楷体"/>
          <w:b/>
          <w:bCs/>
          <w:color w:val="auto"/>
          <w:sz w:val="32"/>
          <w:szCs w:val="32"/>
          <w:shd w:val="clear" w:color="auto" w:fill="FFFFFF"/>
        </w:rPr>
        <w:t xml:space="preserve"> </w:t>
      </w:r>
      <w:r>
        <w:rPr>
          <w:rFonts w:hint="eastAsia" w:ascii="方正楷体_GBK" w:hAnsi="方正楷体_GBK" w:eastAsia="方正楷体_GBK" w:cs="方正楷体_GBK"/>
          <w:color w:val="auto"/>
          <w:sz w:val="32"/>
          <w:szCs w:val="32"/>
          <w:lang w:val="en-US" w:eastAsia="zh-CN" w:bidi="ar-SA"/>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三公”经费支出共计9.57万元，较年初预算数减少1.23万元，下降11.4%，主要原因是严格落实了中央八项规定和政府过“紧日子”十条措施相关要求，按照只减不增的要求从严控制“三公”经费。较上年支出数减少1.37万元，下降12.5%，主要原因是：严格落实了中央八项规定和政府过“紧日子”十条措施相关要求，公务车运行维护费比上年减少1.21万元，公务接待比上年减少0.16万元。</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因公出国（境）费用0万元。费用支出较年初预算数无增减，主要原因是本单位未发生因公出国（境）费用，与上年决算数持平。较上年支出数无增减，主要原因是本单位未发生因公出国（境）费用，与上年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公务车购置费0万元。费用支出较年初预算数无增减，主要原因是：本单位未发生公务车购置费，与上年决算数持平。较上年支出数无增减，主要原因是：本单位未发生公务车购置费，</w:t>
      </w:r>
      <w:bookmarkStart w:id="0" w:name="OLE_LINK6"/>
      <w:r>
        <w:rPr>
          <w:rFonts w:hint="eastAsia" w:ascii="方正仿宋_GBK" w:hAnsi="方正仿宋_GBK" w:eastAsia="方正仿宋_GBK" w:cs="方正仿宋_GBK"/>
          <w:i w:val="0"/>
          <w:caps w:val="0"/>
          <w:color w:val="auto"/>
          <w:spacing w:val="0"/>
          <w:kern w:val="0"/>
          <w:sz w:val="32"/>
          <w:szCs w:val="32"/>
          <w:lang w:val="en-US" w:eastAsia="zh-CN" w:bidi="ar"/>
        </w:rPr>
        <w:t>与上年决算数持平</w:t>
      </w:r>
      <w:bookmarkEnd w:id="0"/>
      <w:r>
        <w:rPr>
          <w:rFonts w:hint="eastAsia" w:ascii="方正仿宋_GBK" w:hAnsi="方正仿宋_GBK" w:eastAsia="方正仿宋_GBK" w:cs="方正仿宋_GBK"/>
          <w:i w:val="0"/>
          <w:caps w:val="0"/>
          <w:color w:val="auto"/>
          <w:spacing w:val="0"/>
          <w:kern w:val="0"/>
          <w:sz w:val="32"/>
          <w:szCs w:val="32"/>
          <w:lang w:val="en-US" w:eastAsia="zh-CN" w:bidi="ar"/>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运行维护费9.57万元，主要用于机要文件交换、重庆市内因公出行等工作所需车辆的燃料费、维修费、过桥过路费、车辆保险费等支出。费用支出较年初预算数减少0.23万元，下降2.4%，主要原因是：严格控制公务车维修费、燃料费支出预算。较上年支出数减少1.21万元，下降11.2%，主要原因是：严格落实了中央八项规定和政府过“紧日子”十条措施相关要求，严格控制公务车运行维护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接待费0万元。费用支出较年初预算数减少1万元，下降100.0%，主要原因是：本单位强化公务接待支出管理，2024年度未发生公务接待费用。较上年支出数减少0.16万元，下降100.0%，主要原因是：本单位强化公务接待支出管理，2024年度未发生公务接待费用。</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i w:val="0"/>
          <w:caps w:val="0"/>
          <w:color w:val="auto"/>
          <w:spacing w:val="0"/>
          <w:kern w:val="0"/>
          <w:sz w:val="32"/>
          <w:szCs w:val="32"/>
          <w:lang w:val="en-US" w:eastAsia="zh-CN" w:bidi="ar"/>
        </w:rPr>
        <w:t xml:space="preserve"> 2024年度本单位因公出国（境）共计0个团组，0人；公务用车购置0辆，公务车保有量为4辆；国内公务接待0批次0人，其中：国内外事接待0批次，0人；国（境）外公务接待0批次，0人。2024年本单位人均接待费0元，车均购置费0万元，车均维护费2.39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四、其他需要说明的事项</w:t>
      </w:r>
    </w:p>
    <w:p>
      <w:pPr>
        <w:pStyle w:val="9"/>
        <w:keepNext w:val="0"/>
        <w:keepLines w:val="0"/>
        <w:pageBreakBefore w:val="0"/>
        <w:widowControl/>
        <w:kinsoku/>
        <w:wordWrap/>
        <w:overflowPunct/>
        <w:topLinePunct w:val="0"/>
        <w:autoSpaceDE w:val="0"/>
        <w:autoSpaceDN/>
        <w:bidi w:val="0"/>
        <w:adjustRightInd/>
        <w:spacing w:line="560" w:lineRule="exact"/>
        <w:ind w:firstLine="643"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楷体" w:hAnsi="楷体" w:eastAsia="楷体" w:cs="楷体"/>
          <w:b/>
          <w:bCs/>
          <w:color w:val="auto"/>
          <w:sz w:val="32"/>
          <w:szCs w:val="32"/>
          <w:shd w:val="clear" w:color="auto" w:fill="FFFFFF"/>
        </w:rPr>
        <w:t xml:space="preserve"> </w:t>
      </w:r>
      <w:r>
        <w:rPr>
          <w:rFonts w:hint="eastAsia" w:ascii="方正楷体_GBK" w:hAnsi="方正楷体_GBK" w:eastAsia="方正楷体_GBK" w:cs="方正楷体_GBK"/>
          <w:color w:val="auto"/>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年度会议费支出2.79万元，与2023年度相比，减少10.26万元，下降78.6%，主要原因是：2024年镇人大代表履职经费减少9.12万元；人代会费用减少1.14万元。本年度培训费支出0.66万元，与2023年度相比，减少0.51万元，下降43.6%，主要原因是：2024年度参加培训人次比上年度减少，报销培训费0.66万元。</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机关运行经费支出128.04万元，机关运行经费主要用于开支.购买货物和服务等的各项公用经费，包括办公、邮电费、差旅费、会议费、福利费、日常维护费、办公用房水电费、公务用车运行维护费以及其他商品服务支出等。机关运行经费较上年支出数减少117.78万元，下降47.9%，主要原因是：（1）严格落实了中央八项规定和政府过“紧日子”十条措施相关要求，严格控制办公经费8.35万元；（2）本年度政府机关7个事业单位独立核算，减少运行经费109.43万元。</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截至2024年12月31日，本单位共有车辆4辆，其中，副部（省）级及以上领导用车0辆、主要负责人用车0辆、机要通信用车0辆、应急保障用车2辆、执法执勤用车0辆，特种专业技术用车2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政府采购支出总额7.92万元，其中：政府采购货物支出7.92万元、政府采购工程支出0万元、政府采购服务支出0万元。授予中小企业合同金额6.37万元，占政府采购支出总额的80.34%，其中：授予小微企业合同金额6.37万元，占政府采购支出总额的80.34 %。主要用于采购办公用品、办公电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（一）预算绩效管理工作开展情况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根据预算绩效管理要求，我单位对30个项目开展了绩效自评，其中，以填报自评表形式开展自评30项，涉及资金954.6万元；未委托第三方出具报告的方式开展绩效评价。</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（二）绩效自评结果</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1.项目绩效自评表。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详见附件。</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2.项目绩效自评报告或案例。</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我单位未委托第三方开展绩效评价。</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3.关于绩效自评结果的说明。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我单位对30个项目进行绩效自评，其中30个已完成年度绩效目标，0个未完成年度绩效目标。</w:t>
      </w:r>
    </w:p>
    <w:p>
      <w:pPr>
        <w:pStyle w:val="9"/>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 xml:space="preserve">（三）财政重点绩效评价情况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我单位无财政重点绩效评价项目。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bidi="ar-SA"/>
        </w:rPr>
      </w:pPr>
      <w:r>
        <w:rPr>
          <w:rFonts w:hint="eastAsia" w:ascii="方正黑体_GBK" w:hAnsi="方正黑体_GBK" w:eastAsia="方正黑体_GBK" w:cs="方正黑体_GBK"/>
          <w:color w:val="auto"/>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（一）财政拨款收入：</w:t>
      </w:r>
      <w:r>
        <w:rPr>
          <w:rFonts w:hint="eastAsia" w:ascii="方正仿宋_GBK" w:hAnsi="方正仿宋_GBK" w:eastAsia="方正仿宋_GBK" w:cs="方正仿宋_GBK"/>
          <w:i w:val="0"/>
          <w:caps w:val="0"/>
          <w:color w:val="auto"/>
          <w:spacing w:val="0"/>
          <w:kern w:val="0"/>
          <w:sz w:val="32"/>
          <w:szCs w:val="32"/>
          <w:lang w:val="en-US" w:eastAsia="zh-CN" w:bidi="ar"/>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（二）事业收入：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（三）经营收入：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（四）其他收入：</w:t>
      </w:r>
      <w:r>
        <w:rPr>
          <w:rFonts w:hint="eastAsia" w:ascii="方正仿宋_GBK" w:hAnsi="方正仿宋_GBK" w:eastAsia="方正仿宋_GBK" w:cs="方正仿宋_GBK"/>
          <w:i w:val="0"/>
          <w:caps w:val="0"/>
          <w:color w:val="auto"/>
          <w:spacing w:val="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（五）使用非财政拨款结余：</w:t>
      </w:r>
      <w:r>
        <w:rPr>
          <w:rFonts w:hint="eastAsia" w:ascii="方正仿宋_GBK" w:hAnsi="方正仿宋_GBK" w:eastAsia="方正仿宋_GBK" w:cs="方正仿宋_GBK"/>
          <w:i w:val="0"/>
          <w:caps w:val="0"/>
          <w:color w:val="auto"/>
          <w:spacing w:val="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（六）年初结转和结余：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（七）结余分配：</w:t>
      </w:r>
      <w:r>
        <w:rPr>
          <w:rFonts w:hint="eastAsia" w:ascii="方正仿宋_GBK" w:hAnsi="方正仿宋_GBK" w:eastAsia="方正仿宋_GBK" w:cs="方正仿宋_GBK"/>
          <w:i w:val="0"/>
          <w:caps w:val="0"/>
          <w:color w:val="auto"/>
          <w:spacing w:val="0"/>
          <w:kern w:val="0"/>
          <w:sz w:val="32"/>
          <w:szCs w:val="32"/>
          <w:lang w:val="en-US" w:eastAsia="zh-CN" w:bidi="ar"/>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（八）年末结转和结余：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（九）基本支出：</w:t>
      </w:r>
      <w:r>
        <w:rPr>
          <w:rFonts w:hint="eastAsia" w:ascii="方正仿宋_GBK" w:hAnsi="方正仿宋_GBK" w:eastAsia="方正仿宋_GBK" w:cs="方正仿宋_GBK"/>
          <w:i w:val="0"/>
          <w:caps w:val="0"/>
          <w:color w:val="auto"/>
          <w:spacing w:val="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（十）项目支出：</w:t>
      </w:r>
      <w:r>
        <w:rPr>
          <w:rFonts w:hint="eastAsia" w:ascii="方正仿宋_GBK" w:hAnsi="方正仿宋_GBK" w:eastAsia="方正仿宋_GBK" w:cs="方正仿宋_GBK"/>
          <w:i w:val="0"/>
          <w:caps w:val="0"/>
          <w:color w:val="auto"/>
          <w:spacing w:val="0"/>
          <w:kern w:val="0"/>
          <w:sz w:val="32"/>
          <w:szCs w:val="32"/>
          <w:lang w:val="en-US" w:eastAsia="zh-CN" w:bidi="ar"/>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（十一）经营支出：</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color w:val="auto"/>
          <w:sz w:val="32"/>
          <w:szCs w:val="32"/>
          <w:lang w:val="en-US" w:eastAsia="zh-CN" w:bidi="ar-SA"/>
        </w:rPr>
        <w:t>（十二）“三公”经费：</w:t>
      </w:r>
      <w:r>
        <w:rPr>
          <w:rFonts w:hint="eastAsia" w:ascii="方正仿宋_GBK" w:hAnsi="方正仿宋_GBK" w:eastAsia="方正仿宋_GBK" w:cs="方正仿宋_GBK"/>
          <w:i w:val="0"/>
          <w:caps w:val="0"/>
          <w:color w:val="auto"/>
          <w:spacing w:val="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（十三）机关运行经费：</w:t>
      </w:r>
      <w:r>
        <w:rPr>
          <w:rFonts w:hint="eastAsia" w:ascii="方正仿宋_GBK" w:hAnsi="方正仿宋_GBK" w:eastAsia="方正仿宋_GBK" w:cs="方正仿宋_GBK"/>
          <w:i w:val="0"/>
          <w:caps w:val="0"/>
          <w:color w:val="auto"/>
          <w:spacing w:val="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（十四）工资福利支出（支出经济分类科目类级）：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（十五）商品和服务支出（支出经济分类科目类级）：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（十六）对个人和家庭的补助（支出经济分类科目类级）：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（十七）其他资本性支出（支出经济分类科目类级）：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color w:val="auto"/>
          <w:sz w:val="32"/>
          <w:szCs w:val="32"/>
          <w:lang w:val="en-US" w:eastAsia="zh-CN" w:bidi="ar-SA"/>
        </w:rPr>
      </w:pPr>
      <w:r>
        <w:rPr>
          <w:rFonts w:hint="eastAsia" w:ascii="方正黑体_GBK" w:hAnsi="方正黑体_GBK" w:eastAsia="方正黑体_GBK" w:cs="方正黑体_GBK"/>
          <w:color w:val="auto"/>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eastAsia" w:ascii="方正仿宋_GBK" w:hAnsi="方正仿宋_GBK" w:eastAsia="方正仿宋_GBK" w:cs="方正仿宋_GBK"/>
          <w:b/>
          <w:bCs/>
          <w:color w:val="auto"/>
          <w:sz w:val="32"/>
          <w:szCs w:val="32"/>
          <w:shd w:val="clear" w:fill="FFFF00"/>
          <w:lang w:val="en-US" w:eastAsia="zh-CN"/>
        </w:rPr>
      </w:pPr>
      <w:r>
        <w:rPr>
          <w:rFonts w:hint="eastAsia" w:ascii="方正仿宋_GBK" w:hAnsi="方正仿宋_GBK" w:eastAsia="方正仿宋_GBK" w:cs="方正仿宋_GBK"/>
          <w:i w:val="0"/>
          <w:caps w:val="0"/>
          <w:color w:val="auto"/>
          <w:spacing w:val="0"/>
          <w:kern w:val="0"/>
          <w:sz w:val="32"/>
          <w:szCs w:val="32"/>
          <w:lang w:val="en-US" w:eastAsia="zh-CN" w:bidi="ar"/>
        </w:rPr>
        <w:t>本单位决算公开信息反馈和联系方式：赖静023-45625433</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828B2"/>
    <w:rsid w:val="009B67B8"/>
    <w:rsid w:val="00B03CCD"/>
    <w:rsid w:val="00FE7556"/>
    <w:rsid w:val="01474EBF"/>
    <w:rsid w:val="01F3521E"/>
    <w:rsid w:val="03E3214F"/>
    <w:rsid w:val="04446191"/>
    <w:rsid w:val="044C50BA"/>
    <w:rsid w:val="06A2550B"/>
    <w:rsid w:val="06AB5B45"/>
    <w:rsid w:val="06F80EE2"/>
    <w:rsid w:val="07001CCA"/>
    <w:rsid w:val="075678DB"/>
    <w:rsid w:val="08051BCA"/>
    <w:rsid w:val="08887FC5"/>
    <w:rsid w:val="08B84F60"/>
    <w:rsid w:val="08BA052C"/>
    <w:rsid w:val="08DB07BA"/>
    <w:rsid w:val="09541AE6"/>
    <w:rsid w:val="098305D0"/>
    <w:rsid w:val="09B72B6E"/>
    <w:rsid w:val="09DF4897"/>
    <w:rsid w:val="0A3851D8"/>
    <w:rsid w:val="0A5C4B69"/>
    <w:rsid w:val="0AEC3BC7"/>
    <w:rsid w:val="0B43217B"/>
    <w:rsid w:val="0B9335CE"/>
    <w:rsid w:val="0C7927C4"/>
    <w:rsid w:val="0C9B098C"/>
    <w:rsid w:val="0CF13CBA"/>
    <w:rsid w:val="0D11728C"/>
    <w:rsid w:val="0D3F2FDA"/>
    <w:rsid w:val="0D673E11"/>
    <w:rsid w:val="0DB50EFE"/>
    <w:rsid w:val="0DDA54E4"/>
    <w:rsid w:val="0E3A5F83"/>
    <w:rsid w:val="0F836721"/>
    <w:rsid w:val="0FF47C3E"/>
    <w:rsid w:val="103645A3"/>
    <w:rsid w:val="107B59E5"/>
    <w:rsid w:val="11003CB0"/>
    <w:rsid w:val="11136729"/>
    <w:rsid w:val="111445C7"/>
    <w:rsid w:val="114C11C3"/>
    <w:rsid w:val="1158083A"/>
    <w:rsid w:val="11F03528"/>
    <w:rsid w:val="12C921C4"/>
    <w:rsid w:val="137A4979"/>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BF47EF5"/>
    <w:rsid w:val="1CE157EE"/>
    <w:rsid w:val="1D014A01"/>
    <w:rsid w:val="1D022362"/>
    <w:rsid w:val="1DD26311"/>
    <w:rsid w:val="1DD64F4E"/>
    <w:rsid w:val="1EF67CA4"/>
    <w:rsid w:val="1FCD26AF"/>
    <w:rsid w:val="20642787"/>
    <w:rsid w:val="21556F04"/>
    <w:rsid w:val="218D748C"/>
    <w:rsid w:val="223D3B32"/>
    <w:rsid w:val="22403BD3"/>
    <w:rsid w:val="248559E0"/>
    <w:rsid w:val="24932670"/>
    <w:rsid w:val="24B92327"/>
    <w:rsid w:val="2533755C"/>
    <w:rsid w:val="26396DF4"/>
    <w:rsid w:val="270642A6"/>
    <w:rsid w:val="27167136"/>
    <w:rsid w:val="27B23302"/>
    <w:rsid w:val="29310A5F"/>
    <w:rsid w:val="29C37A35"/>
    <w:rsid w:val="29C95E09"/>
    <w:rsid w:val="2A076083"/>
    <w:rsid w:val="2A73162E"/>
    <w:rsid w:val="2AF520B6"/>
    <w:rsid w:val="2B167953"/>
    <w:rsid w:val="2B200583"/>
    <w:rsid w:val="2B217CA2"/>
    <w:rsid w:val="2B8209DE"/>
    <w:rsid w:val="2C161D32"/>
    <w:rsid w:val="2C2D3EC7"/>
    <w:rsid w:val="2C6762A3"/>
    <w:rsid w:val="2D8D2A49"/>
    <w:rsid w:val="2F483386"/>
    <w:rsid w:val="2FE029D7"/>
    <w:rsid w:val="2FF06E00"/>
    <w:rsid w:val="315D199F"/>
    <w:rsid w:val="315F0B22"/>
    <w:rsid w:val="31A74409"/>
    <w:rsid w:val="31D84415"/>
    <w:rsid w:val="32285F6F"/>
    <w:rsid w:val="32770556"/>
    <w:rsid w:val="329C0913"/>
    <w:rsid w:val="32B11EBD"/>
    <w:rsid w:val="32E97BE5"/>
    <w:rsid w:val="3337290D"/>
    <w:rsid w:val="34240A26"/>
    <w:rsid w:val="3491355F"/>
    <w:rsid w:val="34937980"/>
    <w:rsid w:val="34B95B85"/>
    <w:rsid w:val="352930DB"/>
    <w:rsid w:val="35573069"/>
    <w:rsid w:val="3589787C"/>
    <w:rsid w:val="358C217E"/>
    <w:rsid w:val="359F188C"/>
    <w:rsid w:val="362D2433"/>
    <w:rsid w:val="368E1E98"/>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5F723B"/>
    <w:rsid w:val="3E7555B1"/>
    <w:rsid w:val="3F0527E5"/>
    <w:rsid w:val="3F16459E"/>
    <w:rsid w:val="3F3617F2"/>
    <w:rsid w:val="3FDE15A7"/>
    <w:rsid w:val="4004000C"/>
    <w:rsid w:val="40490A18"/>
    <w:rsid w:val="40ED4C62"/>
    <w:rsid w:val="40FD5440"/>
    <w:rsid w:val="411B6CE5"/>
    <w:rsid w:val="412070D7"/>
    <w:rsid w:val="41314E40"/>
    <w:rsid w:val="4142353C"/>
    <w:rsid w:val="415C674B"/>
    <w:rsid w:val="426C1EA8"/>
    <w:rsid w:val="42E86A87"/>
    <w:rsid w:val="43136432"/>
    <w:rsid w:val="43604A41"/>
    <w:rsid w:val="43770A38"/>
    <w:rsid w:val="443A3B12"/>
    <w:rsid w:val="44A854C2"/>
    <w:rsid w:val="44DD597D"/>
    <w:rsid w:val="44ED76C4"/>
    <w:rsid w:val="465B470D"/>
    <w:rsid w:val="469D6AD4"/>
    <w:rsid w:val="46FC41C7"/>
    <w:rsid w:val="47674801"/>
    <w:rsid w:val="479A2F81"/>
    <w:rsid w:val="48225EF7"/>
    <w:rsid w:val="495C4A24"/>
    <w:rsid w:val="4A4B5424"/>
    <w:rsid w:val="4AD70EE7"/>
    <w:rsid w:val="4B1F6D13"/>
    <w:rsid w:val="4B6C2E51"/>
    <w:rsid w:val="4B7951CB"/>
    <w:rsid w:val="4B7C315C"/>
    <w:rsid w:val="4BAB7F90"/>
    <w:rsid w:val="4D6C5BB8"/>
    <w:rsid w:val="4DAC4ACA"/>
    <w:rsid w:val="4DBD4363"/>
    <w:rsid w:val="4E193054"/>
    <w:rsid w:val="4F186D58"/>
    <w:rsid w:val="50350F7C"/>
    <w:rsid w:val="504E076E"/>
    <w:rsid w:val="50852E73"/>
    <w:rsid w:val="50EC262C"/>
    <w:rsid w:val="51F674B9"/>
    <w:rsid w:val="522F6E0C"/>
    <w:rsid w:val="52463BA1"/>
    <w:rsid w:val="53C0244D"/>
    <w:rsid w:val="53DD4D4E"/>
    <w:rsid w:val="53E578CE"/>
    <w:rsid w:val="543B029D"/>
    <w:rsid w:val="545D0246"/>
    <w:rsid w:val="554E5773"/>
    <w:rsid w:val="555A3CBC"/>
    <w:rsid w:val="56530F5D"/>
    <w:rsid w:val="5842572D"/>
    <w:rsid w:val="5864786E"/>
    <w:rsid w:val="5AE75037"/>
    <w:rsid w:val="5B58571C"/>
    <w:rsid w:val="5B8376C2"/>
    <w:rsid w:val="5B96133A"/>
    <w:rsid w:val="5C1336B7"/>
    <w:rsid w:val="5C263CE4"/>
    <w:rsid w:val="5C5D2777"/>
    <w:rsid w:val="5CE20052"/>
    <w:rsid w:val="5CE63F97"/>
    <w:rsid w:val="5D290C69"/>
    <w:rsid w:val="5D537F41"/>
    <w:rsid w:val="5E5C7349"/>
    <w:rsid w:val="5EFA176D"/>
    <w:rsid w:val="5F0247F9"/>
    <w:rsid w:val="5F2D4A41"/>
    <w:rsid w:val="601C34ED"/>
    <w:rsid w:val="60A958A9"/>
    <w:rsid w:val="60D22ADB"/>
    <w:rsid w:val="61025A59"/>
    <w:rsid w:val="613D5BBC"/>
    <w:rsid w:val="61536C39"/>
    <w:rsid w:val="616B43B1"/>
    <w:rsid w:val="622B6241"/>
    <w:rsid w:val="628230A6"/>
    <w:rsid w:val="62944DD7"/>
    <w:rsid w:val="62AB52B7"/>
    <w:rsid w:val="62B268C0"/>
    <w:rsid w:val="634D1435"/>
    <w:rsid w:val="63C25DC5"/>
    <w:rsid w:val="63C62057"/>
    <w:rsid w:val="63C73832"/>
    <w:rsid w:val="64AF12B8"/>
    <w:rsid w:val="64FB113D"/>
    <w:rsid w:val="6540000C"/>
    <w:rsid w:val="654E4D38"/>
    <w:rsid w:val="656152C6"/>
    <w:rsid w:val="658431CA"/>
    <w:rsid w:val="6587477F"/>
    <w:rsid w:val="658C3A08"/>
    <w:rsid w:val="65C031CA"/>
    <w:rsid w:val="65CE6852"/>
    <w:rsid w:val="65D87D8D"/>
    <w:rsid w:val="6605267C"/>
    <w:rsid w:val="66267C04"/>
    <w:rsid w:val="663F505A"/>
    <w:rsid w:val="665C1999"/>
    <w:rsid w:val="667F2393"/>
    <w:rsid w:val="66EE5541"/>
    <w:rsid w:val="692172FD"/>
    <w:rsid w:val="6A3829EE"/>
    <w:rsid w:val="6B414A08"/>
    <w:rsid w:val="6B474EF5"/>
    <w:rsid w:val="6C560CAE"/>
    <w:rsid w:val="6D0615E4"/>
    <w:rsid w:val="6D6E20A3"/>
    <w:rsid w:val="6D6F2B9C"/>
    <w:rsid w:val="6D903FF5"/>
    <w:rsid w:val="6DA878BC"/>
    <w:rsid w:val="6DA955B8"/>
    <w:rsid w:val="6DE346AB"/>
    <w:rsid w:val="6E166A60"/>
    <w:rsid w:val="6F2A3E07"/>
    <w:rsid w:val="6F7F6A2D"/>
    <w:rsid w:val="6FB442D1"/>
    <w:rsid w:val="6FFB2E76"/>
    <w:rsid w:val="71C34D91"/>
    <w:rsid w:val="71ED38AA"/>
    <w:rsid w:val="720229AA"/>
    <w:rsid w:val="724D4DDE"/>
    <w:rsid w:val="72DB435C"/>
    <w:rsid w:val="750837F0"/>
    <w:rsid w:val="764F62AB"/>
    <w:rsid w:val="765C45EC"/>
    <w:rsid w:val="768A7619"/>
    <w:rsid w:val="76D568F9"/>
    <w:rsid w:val="76E14979"/>
    <w:rsid w:val="77EA362A"/>
    <w:rsid w:val="7875383E"/>
    <w:rsid w:val="796D60A4"/>
    <w:rsid w:val="79A031D5"/>
    <w:rsid w:val="79F37ED4"/>
    <w:rsid w:val="7A1525F7"/>
    <w:rsid w:val="7A3E6CB6"/>
    <w:rsid w:val="7A680D2D"/>
    <w:rsid w:val="7B260559"/>
    <w:rsid w:val="7B420052"/>
    <w:rsid w:val="7BD06A28"/>
    <w:rsid w:val="7C1E4CD7"/>
    <w:rsid w:val="7C3A7C0B"/>
    <w:rsid w:val="7C5248E4"/>
    <w:rsid w:val="7C566698"/>
    <w:rsid w:val="7E5F957E"/>
    <w:rsid w:val="7EC72308"/>
    <w:rsid w:val="7FA960B8"/>
    <w:rsid w:val="BFE6D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18"/>
    <w:basedOn w:val="1"/>
    <w:qFormat/>
    <w:uiPriority w:val="0"/>
    <w:pPr>
      <w:widowControl/>
      <w:ind w:firstLine="420"/>
      <w:jc w:val="left"/>
    </w:pPr>
    <w:rPr>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7711</Words>
  <Characters>21008</Characters>
  <Lines>161</Lines>
  <Paragraphs>45</Paragraphs>
  <TotalTime>1</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kk</cp:lastModifiedBy>
  <cp:lastPrinted>2025-10-15T10:31:00Z</cp:lastPrinted>
  <dcterms:modified xsi:type="dcterms:W3CDTF">2025-10-20T06:31:27Z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