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440" w:firstLineChars="10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重庆市铜梁区土桥镇乡村产业培育中心</w:t>
      </w:r>
    </w:p>
    <w:p>
      <w:pPr>
        <w:pStyle w:val="5"/>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440" w:firstLineChars="10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2024年度决算公开说明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一、单位基本情况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（一）职能职责</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1.承担产业规划、引进培育等工作，提振乡村经济发展，承担各类招商项目洽谈、推价活动等投资促进具体工作，承担扶贫开发等事务性工作。</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2.完成上级政府交办的其他事项。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（二）机构设置</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重庆市铜梁区土桥镇产业培育中心为重庆市铜梁区土桥镇人民政府下设的事业单位。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二、单位决算收支情况说明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（一）收入支出决算总体情况说明</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1.总体情况。2024年度收入总计69.83万元，支出总计69.83万元。收、支与2023年度相比，增加69.83万元，增长100.0%，主要原因是本单位为新增事业单位，上年度无决算数据，本年度收、支分别为69.83万元。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2.收入情况。2024年度收入合计69.83万元，与2023年度相比，增加69.83万元，增长100.0%，主要原因是本单位为新增事业单位，上年度无决算数据，本年度收入为69.83万元。其中：财政拨款收入69.83万元，占100.0%；事业收入0万元，占0.0%；经营收入0万元，占0.0%；其他收入0万元，占0.0%。此外，使用非财政拨款结余和专用结余0万元，年初结转和结余0万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3.支出情况。2024年度支出合计69.83万元，与2023年度相比，增加69.83万元，增长100.0%，主要原因是本单位为新增事业单位，上年度无决算数据，本年度支出为69.83万元。其中：基本支出64.83万元，占92.84%；项目支出5万元，占7.16%；经营支出0万元，占0.0%。此外，结余分配0万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4.结转结余情况。2024年度年末结转和结余0万元，与2023年度相比，无增减，主要原因是本单位为新增事业单位，上年度无结转和结余，2024年度收支平衡，无结转结余。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（二）财政拨款收入支出决算总体情况说明</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2024年度财政拨款收、支总计69.83万元。与2023年相比，财政拨款收、支总计各增加69.83万元，增长100.0%。主要原因是本单位为新增事业单位，上年度无财政拨款收、支，本年度财政拨款收、支分别为69.83万元。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（三）一般公共预算财政拨款收入支出决算情况说明</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1.收入情况。2024年度一般公共预算财政拨款收入69.83万元，与2023年度相比，增加69.83万元，增长100.0%。主要原因是本单位为新增事业单位，上年度无一般公共预算财政拨款收入，本年度一般公共预算财政拨款收入为69.83万元。较年初预算数减少7.14万元，下降9.3%。主要原因是：社会保障和就业一般公共预算财政拨款收入减少0.57万元，卫生健康一般公共预算财政拨款收入减少0.79万元，城乡社区一般公共预算财政拨款收入减少10万元，住房保障一般公共预算财政拨款收入减少0.56万元，农林水一般公共预算财政拨款收入增加4.78万元。此外，年初财政拨款结转和结余0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Style w:val="7"/>
          <w:rFonts w:ascii="方正仿宋_GBK" w:hAnsi="方正仿宋_GBK" w:eastAsia="方正仿宋_GBK" w:cs="方正仿宋_GBK"/>
          <w:b w:val="0"/>
          <w:bCs/>
          <w:color w:val="auto"/>
          <w:sz w:val="32"/>
          <w:szCs w:val="32"/>
          <w:shd w:val="clear" w:color="auto" w:fill="FFFFFF"/>
        </w:rPr>
        <w:t>2.支出情况。</w:t>
      </w:r>
      <w:r>
        <w:rPr>
          <w:rFonts w:hint="eastAsia" w:ascii="方正仿宋_GBK" w:hAnsi="方正仿宋_GBK" w:eastAsia="方正仿宋_GBK" w:cs="方正仿宋_GBK"/>
          <w:i w:val="0"/>
          <w:caps w:val="0"/>
          <w:color w:val="auto"/>
          <w:spacing w:val="0"/>
          <w:kern w:val="0"/>
          <w:sz w:val="32"/>
          <w:szCs w:val="32"/>
          <w:lang w:val="en-US" w:eastAsia="zh-CN" w:bidi="ar"/>
        </w:rPr>
        <w:t>2024年度一般公共预算财政拨款支出69.83万元，与2023年度相比，增加69.83万元，增长100.0%。主要原因是本单位为新增事业单位，上年度无一般公共预算财政拨款支出，本年度一般公共预算财政拨款支出为69.83万元。较年初预算数减少7.14万元，下降9.3%。主要原因是：社会保障和就业一般公共预算财政拨款支出减少0.57万元，卫生健康一般公共预算财政拨款支出减少0.79万元，城乡社区一般公共预算财政拨款支出减少10万元，住房保障一般公共预算财政拨款支出减少0.56万元，农林水一般公共预算财政拨款支出增加4.78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Style w:val="7"/>
          <w:rFonts w:ascii="方正仿宋_GBK" w:hAnsi="方正仿宋_GBK" w:eastAsia="方正仿宋_GBK" w:cs="方正仿宋_GBK"/>
          <w:b w:val="0"/>
          <w:bCs/>
          <w:color w:val="auto"/>
          <w:sz w:val="32"/>
          <w:szCs w:val="32"/>
          <w:shd w:val="clear" w:color="auto" w:fill="FFFFFF"/>
        </w:rPr>
        <w:t>3.结转结余情况。</w:t>
      </w:r>
      <w:r>
        <w:rPr>
          <w:rFonts w:hint="eastAsia" w:ascii="方正仿宋_GBK" w:hAnsi="方正仿宋_GBK" w:eastAsia="方正仿宋_GBK" w:cs="方正仿宋_GBK"/>
          <w:i w:val="0"/>
          <w:caps w:val="0"/>
          <w:color w:val="auto"/>
          <w:spacing w:val="0"/>
          <w:kern w:val="0"/>
          <w:sz w:val="32"/>
          <w:szCs w:val="32"/>
          <w:lang w:val="en-US" w:eastAsia="zh-CN" w:bidi="ar"/>
        </w:rPr>
        <w:t>2024年度年末一般公共预算财政拨款结转和结余0万元，与2023年度相比，无增减，主要原因是本单位为新增事业单位，上年度无结转和结余，2024年度收支平衡，无结转结余。</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Style w:val="7"/>
          <w:rFonts w:ascii="方正仿宋_GBK" w:hAnsi="方正仿宋_GBK" w:eastAsia="方正仿宋_GBK" w:cs="方正仿宋_GBK"/>
          <w:b w:val="0"/>
          <w:bCs/>
          <w:color w:val="auto"/>
          <w:sz w:val="32"/>
          <w:szCs w:val="32"/>
          <w:shd w:val="clear" w:color="auto" w:fill="FFFFFF"/>
        </w:rPr>
        <w:t xml:space="preserve"> 4.比较情况。</w:t>
      </w:r>
      <w:r>
        <w:rPr>
          <w:rFonts w:hint="eastAsia" w:ascii="方正仿宋_GBK" w:hAnsi="方正仿宋_GBK" w:eastAsia="方正仿宋_GBK" w:cs="方正仿宋_GBK"/>
          <w:i w:val="0"/>
          <w:caps w:val="0"/>
          <w:color w:val="auto"/>
          <w:spacing w:val="0"/>
          <w:kern w:val="0"/>
          <w:sz w:val="32"/>
          <w:szCs w:val="32"/>
          <w:lang w:val="en-US" w:eastAsia="zh-CN" w:bidi="ar"/>
        </w:rPr>
        <w:t>本单位2024年度一般公共预算财政拨款支出主要用于以下几个方面：</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（1）社会保障与就业支出4.61万元，占6.6%，较年初预算数减少0.57万元，下降11.0%，主要原因是单位人员变动，养老保险缴费支出减少0.45万元，职业年金缴费支出减少0.12万元。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（2）卫生健康支出2.01万元，占2.88%，较年初预算数减少0.8万元，下降28.5%，主要原因是单位人员变动，行政事业单位医疗支出减少0.8万元。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（3）城乡社区支出0万元，占0.0%，较年初预算数减少10万元，下降100.0%，主要原因是2024年度本单位未产生城乡社区支出，减少10万元。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（4）农林水支出61.18万元，占87.62%，较年初预算数增加4.78万元，增长8.5%，主要原因是单位人员变动，工资、津补贴等减少 0.22万元，其他农业项目支出增加5万元。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（5）住房保障支出2.03万元，占2.9%，较年初预算数减少0.56万元，下降21.6%，主要原因是单位人员变动，住房公积金支出减少0.56万元。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（四）一般公共预算财政拨款基本支出决算情况说明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 2024年度一般公共财政拨款基本支出64.83万元。其中：人员经费53.02万元，与2023年度相比，增加53.02万元，增长100.0%，主要原因是本单位为新增事业单位，上年度无人员经费支出，本年度人员经费支出为53.02万元。人员经费用途主要包括基本工资、津贴补贴、绩效工资、奖金、社会保障缴费、住房公积金、应休未休假报酬，退休人员生活补助等。公用经费11.8万元，与2023年度相比，增加11.8万元，增长100.0%，主要原因是本单位为新增事业单位，上年度无公用经费支出，本年度公用经费支出为11.8万元。公用经费用途主要包括办公费、水费、电费、邮电费、差旅费、租赁费、劳务费、工会经费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（五）政府性基金预算收支决算情况说明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2024年度政府性基金预算财政拨款年初结转结余0万元，年末结转结余0万元。本年收入0万元，与2023年度相比，无增减，主要原因是本单位2024年度无政府性基金预算财政拨款收支。本年支出0万元，与2023年度相比，无增减，主要原因是本单位2024年度无政府性基金预算财政拨款收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（六）国有资本经营预算财政拨款支出决算情况说明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 2024年度国有资本经营预算财政拨本年支出0万元，基本支出0万元，项目支出0万元，主要原因是本单位2024年度无国有资本经营预算财政拨款支出。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三、财政拨款“三公”经费情况说明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 xml:space="preserve"> （一）“三公”经费支出总体情况说明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2024年度“三公”经费支出共计0万元，较年初预算数无增减，主要原因是本单位2024年度无“三公”经费支出。较上年支出数无增减，主要原因是本单位为新增事业单位，2024年度无“三公”经费支出。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（二）“三公”经费分项支出情况</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2024年度本单位因公出国（境）费用0万元。费用支出较年初预算数无增减，主要原因是2024年度本单位无因公出国（境）支出。与2023年度相比，无增减，主要原因是本单位为新增事业单位，2024年度无因公出国（境）支出。</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公务车购置费0万元，费用支出较年初预算数无增减，主要原因是2024年度本单位未发生公务车购置费。与2023年度相比，无增减，主要原因是本单位为新增事业单位，2024年度无公务车购置费。</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公务车运行维护费0万元，费用支出较年初预算数无增减，主要原因是本单位未发生公务车运行维护费。与2023年度相比，无增减，主要原因是本单位为新增事业单位，2024年度无公务车运行维护费。</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公务接待费0万元，费用支出较年初预算数无增减，主要原因是本单位未发生公务接待费。较上年支出数无增减，主要原因是本单位为新增事业单位，2024年度无公务接待费。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（三）“三公”经费实物量情况</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i w:val="0"/>
          <w:caps w:val="0"/>
          <w:color w:val="auto"/>
          <w:spacing w:val="0"/>
          <w:kern w:val="0"/>
          <w:sz w:val="32"/>
          <w:szCs w:val="32"/>
          <w:lang w:val="en-US" w:eastAsia="zh-CN" w:bidi="ar"/>
        </w:rPr>
        <w:t xml:space="preserve"> 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四、其他需要说明的事项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 xml:space="preserve"> （一）财政拨款会议费和培训费情况说明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本年度会议费支出0万元，与2023年度相比，无增减，主要原因是本单位为新增事业单位，2024年度无会议费支出。本年度培训费支出0.22万元，与2023年度相比，增加0.22万元，增长100.0%，主要原因是本单位为新增事业单位，上年无决算数据，2024年培训费支出0.22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（二）机关运行经费情况说明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2024年度本单位机关运行经费支出0万元，机关运行经费较上年支出数无增减，主要原因是：</w:t>
      </w:r>
      <w:r>
        <w:rPr>
          <w:rFonts w:hint="default" w:ascii="方正仿宋_GBK" w:hAnsi="方正仿宋_GBK" w:eastAsia="方正仿宋_GBK" w:cs="方正仿宋_GBK"/>
          <w:i w:val="0"/>
          <w:caps w:val="0"/>
          <w:color w:val="auto"/>
          <w:spacing w:val="0"/>
          <w:kern w:val="0"/>
          <w:sz w:val="32"/>
          <w:szCs w:val="32"/>
          <w:lang w:val="en-US" w:eastAsia="zh-CN" w:bidi="ar"/>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（三）国有资产占用情况说明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（四）政府采购支出情况说明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2024年度本单位政府采购支出总额0万元，其中：政府采购货物支出0万元、政府采购工程支出0万元、政府采购服务支出0万元。授予中小企业合同金额0万元，占政府采购支出总额的0.0%，其中：授予小微企业合同金额0万元，占政府采购支出总额的0.0%。主要原因是2024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五、2024年度预算绩效管理情况说明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（一）预算绩效管理工作开展情况</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根据预算绩效管理要求，我单位对1个项目开展了绩效自评，其中，以填报自评表形式开展自评1项，涉及资金5万元；未以委托第三方出具报告的方式开展绩效评价。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（二）绩效自评结果</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1.项目绩效自评表。</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详见附件。</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2.项目绩效自评报告或案例。</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我单位未委托第三方开展绩效评价。</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3.关于绩效自评结果的说明。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我单位对1个项目进行绩效自评，其中1个已完成年度绩效目标，0个未完成年度绩效目标。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 xml:space="preserve">（三）财政重点绩效评价情况 </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我单位无财政重点绩效评价项目。</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color w:val="auto"/>
          <w:sz w:val="32"/>
          <w:szCs w:val="32"/>
          <w:lang w:val="en-US" w:eastAsia="zh-CN" w:bidi="ar-SA"/>
        </w:rPr>
      </w:pPr>
      <w:r>
        <w:rPr>
          <w:rFonts w:hint="eastAsia" w:ascii="方正黑体_GBK" w:hAnsi="方正黑体_GBK" w:eastAsia="方正黑体_GBK" w:cs="方正黑体_GBK"/>
          <w:color w:val="auto"/>
          <w:sz w:val="32"/>
          <w:szCs w:val="32"/>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（一）财政拨款收入：</w:t>
      </w:r>
      <w:r>
        <w:rPr>
          <w:rFonts w:hint="eastAsia" w:ascii="方正仿宋_GBK" w:hAnsi="方正仿宋_GBK" w:eastAsia="方正仿宋_GBK" w:cs="方正仿宋_GBK"/>
          <w:i w:val="0"/>
          <w:caps w:val="0"/>
          <w:color w:val="auto"/>
          <w:spacing w:val="0"/>
          <w:kern w:val="0"/>
          <w:sz w:val="32"/>
          <w:szCs w:val="32"/>
          <w:lang w:val="en-US" w:eastAsia="zh-CN" w:bidi="ar"/>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（二）事业收入：</w:t>
      </w:r>
      <w:r>
        <w:rPr>
          <w:rFonts w:hint="eastAsia" w:ascii="方正仿宋_GBK" w:hAnsi="方正仿宋_GBK" w:eastAsia="方正仿宋_GBK" w:cs="方正仿宋_GBK"/>
          <w:i w:val="0"/>
          <w:caps w:val="0"/>
          <w:color w:val="auto"/>
          <w:spacing w:val="0"/>
          <w:kern w:val="0"/>
          <w:sz w:val="32"/>
          <w:szCs w:val="32"/>
          <w:lang w:val="en-US" w:eastAsia="zh-CN" w:bidi="ar"/>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（三）经营收入：</w:t>
      </w:r>
      <w:r>
        <w:rPr>
          <w:rFonts w:hint="eastAsia" w:ascii="方正仿宋_GBK" w:hAnsi="方正仿宋_GBK" w:eastAsia="方正仿宋_GBK" w:cs="方正仿宋_GBK"/>
          <w:i w:val="0"/>
          <w:caps w:val="0"/>
          <w:color w:val="auto"/>
          <w:spacing w:val="0"/>
          <w:kern w:val="0"/>
          <w:sz w:val="32"/>
          <w:szCs w:val="32"/>
          <w:lang w:val="en-US" w:eastAsia="zh-CN" w:bidi="ar"/>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（四）其他收入：</w:t>
      </w:r>
      <w:r>
        <w:rPr>
          <w:rFonts w:hint="eastAsia" w:ascii="方正仿宋_GBK" w:hAnsi="方正仿宋_GBK" w:eastAsia="方正仿宋_GBK" w:cs="方正仿宋_GBK"/>
          <w:i w:val="0"/>
          <w:caps w:val="0"/>
          <w:color w:val="auto"/>
          <w:spacing w:val="0"/>
          <w:kern w:val="0"/>
          <w:sz w:val="32"/>
          <w:szCs w:val="32"/>
          <w:lang w:val="en-US" w:eastAsia="zh-CN" w:bidi="ar"/>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（五）使用非财政拨款结余：</w:t>
      </w:r>
      <w:r>
        <w:rPr>
          <w:rFonts w:hint="eastAsia" w:ascii="方正仿宋_GBK" w:hAnsi="方正仿宋_GBK" w:eastAsia="方正仿宋_GBK" w:cs="方正仿宋_GBK"/>
          <w:i w:val="0"/>
          <w:caps w:val="0"/>
          <w:color w:val="auto"/>
          <w:spacing w:val="0"/>
          <w:kern w:val="0"/>
          <w:sz w:val="32"/>
          <w:szCs w:val="32"/>
          <w:lang w:val="en-US" w:eastAsia="zh-CN" w:bidi="ar"/>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（六）年初结转和结余：</w:t>
      </w:r>
      <w:r>
        <w:rPr>
          <w:rFonts w:hint="eastAsia" w:ascii="方正仿宋_GBK" w:hAnsi="方正仿宋_GBK" w:eastAsia="方正仿宋_GBK" w:cs="方正仿宋_GBK"/>
          <w:i w:val="0"/>
          <w:caps w:val="0"/>
          <w:color w:val="auto"/>
          <w:spacing w:val="0"/>
          <w:kern w:val="0"/>
          <w:sz w:val="32"/>
          <w:szCs w:val="32"/>
          <w:lang w:val="en-US" w:eastAsia="zh-CN" w:bidi="ar"/>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（七）结余分配：</w:t>
      </w:r>
      <w:r>
        <w:rPr>
          <w:rFonts w:hint="eastAsia" w:ascii="方正仿宋_GBK" w:hAnsi="方正仿宋_GBK" w:eastAsia="方正仿宋_GBK" w:cs="方正仿宋_GBK"/>
          <w:i w:val="0"/>
          <w:caps w:val="0"/>
          <w:color w:val="auto"/>
          <w:spacing w:val="0"/>
          <w:kern w:val="0"/>
          <w:sz w:val="32"/>
          <w:szCs w:val="32"/>
          <w:lang w:val="en-US" w:eastAsia="zh-CN" w:bidi="ar"/>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（八）年末结转和结余：</w:t>
      </w:r>
      <w:r>
        <w:rPr>
          <w:rFonts w:hint="eastAsia" w:ascii="方正仿宋_GBK" w:hAnsi="方正仿宋_GBK" w:eastAsia="方正仿宋_GBK" w:cs="方正仿宋_GBK"/>
          <w:i w:val="0"/>
          <w:caps w:val="0"/>
          <w:color w:val="auto"/>
          <w:spacing w:val="0"/>
          <w:kern w:val="0"/>
          <w:sz w:val="32"/>
          <w:szCs w:val="32"/>
          <w:lang w:val="en-US" w:eastAsia="zh-CN" w:bidi="ar"/>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（九）基本支出：</w:t>
      </w:r>
      <w:r>
        <w:rPr>
          <w:rFonts w:hint="eastAsia" w:ascii="方正仿宋_GBK" w:hAnsi="方正仿宋_GBK" w:eastAsia="方正仿宋_GBK" w:cs="方正仿宋_GBK"/>
          <w:i w:val="0"/>
          <w:caps w:val="0"/>
          <w:color w:val="auto"/>
          <w:spacing w:val="0"/>
          <w:kern w:val="0"/>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（十）项目支出：</w:t>
      </w:r>
      <w:r>
        <w:rPr>
          <w:rFonts w:hint="eastAsia" w:ascii="方正仿宋_GBK" w:hAnsi="方正仿宋_GBK" w:eastAsia="方正仿宋_GBK" w:cs="方正仿宋_GBK"/>
          <w:i w:val="0"/>
          <w:caps w:val="0"/>
          <w:color w:val="auto"/>
          <w:spacing w:val="0"/>
          <w:kern w:val="0"/>
          <w:sz w:val="32"/>
          <w:szCs w:val="32"/>
          <w:lang w:val="en-US" w:eastAsia="zh-CN" w:bidi="ar"/>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（十一）经营支出：</w:t>
      </w:r>
      <w:r>
        <w:rPr>
          <w:rFonts w:hint="eastAsia" w:ascii="方正仿宋_GBK" w:hAnsi="方正仿宋_GBK" w:eastAsia="方正仿宋_GBK" w:cs="方正仿宋_GBK"/>
          <w:i w:val="0"/>
          <w:caps w:val="0"/>
          <w:color w:val="auto"/>
          <w:spacing w:val="0"/>
          <w:kern w:val="0"/>
          <w:sz w:val="32"/>
          <w:szCs w:val="32"/>
          <w:lang w:val="en-US" w:eastAsia="zh-CN" w:bidi="ar"/>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（十二）“三公”经费：</w:t>
      </w:r>
      <w:r>
        <w:rPr>
          <w:rFonts w:hint="eastAsia" w:ascii="方正仿宋_GBK" w:hAnsi="方正仿宋_GBK" w:eastAsia="方正仿宋_GBK" w:cs="方正仿宋_GBK"/>
          <w:i w:val="0"/>
          <w:caps w:val="0"/>
          <w:color w:val="auto"/>
          <w:spacing w:val="0"/>
          <w:kern w:val="0"/>
          <w:sz w:val="32"/>
          <w:szCs w:val="32"/>
          <w:lang w:val="en-US" w:eastAsia="zh-CN" w:bidi="ar"/>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（十三）机关运行经费：</w:t>
      </w:r>
      <w:r>
        <w:rPr>
          <w:rFonts w:hint="eastAsia" w:ascii="方正仿宋_GBK" w:hAnsi="方正仿宋_GBK" w:eastAsia="方正仿宋_GBK" w:cs="方正仿宋_GBK"/>
          <w:i w:val="0"/>
          <w:caps w:val="0"/>
          <w:color w:val="auto"/>
          <w:spacing w:val="0"/>
          <w:kern w:val="0"/>
          <w:sz w:val="32"/>
          <w:szCs w:val="32"/>
          <w:lang w:val="en-US" w:eastAsia="zh-CN" w:bidi="ar"/>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（十四）工资福利支出（支出经济分类科目类级）：</w:t>
      </w:r>
      <w:r>
        <w:rPr>
          <w:rFonts w:hint="eastAsia" w:ascii="方正仿宋_GBK" w:hAnsi="方正仿宋_GBK" w:eastAsia="方正仿宋_GBK" w:cs="方正仿宋_GBK"/>
          <w:i w:val="0"/>
          <w:caps w:val="0"/>
          <w:color w:val="auto"/>
          <w:spacing w:val="0"/>
          <w:kern w:val="0"/>
          <w:sz w:val="32"/>
          <w:szCs w:val="32"/>
          <w:lang w:val="en-US" w:eastAsia="zh-CN" w:bidi="ar"/>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（十五）商品和服务支出（支出经济分类科目类级）：</w:t>
      </w:r>
      <w:r>
        <w:rPr>
          <w:rFonts w:hint="eastAsia" w:ascii="方正仿宋_GBK" w:hAnsi="方正仿宋_GBK" w:eastAsia="方正仿宋_GBK" w:cs="方正仿宋_GBK"/>
          <w:i w:val="0"/>
          <w:caps w:val="0"/>
          <w:color w:val="auto"/>
          <w:spacing w:val="0"/>
          <w:kern w:val="0"/>
          <w:sz w:val="32"/>
          <w:szCs w:val="32"/>
          <w:lang w:val="en-US" w:eastAsia="zh-CN" w:bidi="ar"/>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（十六）对个人和家庭的补助（支出经济分类科目类级）：</w:t>
      </w:r>
      <w:r>
        <w:rPr>
          <w:rFonts w:hint="eastAsia" w:ascii="方正仿宋_GBK" w:hAnsi="方正仿宋_GBK" w:eastAsia="方正仿宋_GBK" w:cs="方正仿宋_GBK"/>
          <w:i w:val="0"/>
          <w:caps w:val="0"/>
          <w:color w:val="auto"/>
          <w:spacing w:val="0"/>
          <w:kern w:val="0"/>
          <w:sz w:val="32"/>
          <w:szCs w:val="32"/>
          <w:lang w:val="en-US" w:eastAsia="zh-CN" w:bidi="ar"/>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（十七）其他资本性支出（支出经济分类科目类级）：</w:t>
      </w:r>
      <w:r>
        <w:rPr>
          <w:rFonts w:hint="eastAsia" w:ascii="方正仿宋_GBK" w:hAnsi="方正仿宋_GBK" w:eastAsia="方正仿宋_GBK" w:cs="方正仿宋_GBK"/>
          <w:i w:val="0"/>
          <w:caps w:val="0"/>
          <w:color w:val="auto"/>
          <w:spacing w:val="0"/>
          <w:kern w:val="0"/>
          <w:sz w:val="32"/>
          <w:szCs w:val="32"/>
          <w:lang w:val="en-US" w:eastAsia="zh-CN" w:bidi="ar"/>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color w:val="auto"/>
          <w:sz w:val="32"/>
          <w:szCs w:val="32"/>
          <w:lang w:val="en-US" w:eastAsia="zh-CN" w:bidi="ar-SA"/>
        </w:rPr>
      </w:pPr>
      <w:r>
        <w:rPr>
          <w:rFonts w:hint="eastAsia" w:ascii="方正黑体_GBK" w:hAnsi="方正黑体_GBK" w:eastAsia="方正黑体_GBK" w:cs="方正黑体_GBK"/>
          <w:color w:val="auto"/>
          <w:sz w:val="32"/>
          <w:szCs w:val="32"/>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本单位决算公开信息反馈和联系方式：赖静</w:t>
      </w:r>
      <w:bookmarkStart w:id="0" w:name="_GoBack"/>
      <w:bookmarkEnd w:id="0"/>
      <w:r>
        <w:rPr>
          <w:rFonts w:hint="eastAsia" w:ascii="方正仿宋_GBK" w:hAnsi="方正仿宋_GBK" w:eastAsia="方正仿宋_GBK" w:cs="方正仿宋_GBK"/>
          <w:i w:val="0"/>
          <w:caps w:val="0"/>
          <w:color w:val="auto"/>
          <w:spacing w:val="0"/>
          <w:kern w:val="0"/>
          <w:sz w:val="32"/>
          <w:szCs w:val="32"/>
          <w:lang w:val="en-US" w:eastAsia="zh-CN" w:bidi="ar"/>
        </w:rPr>
        <w:t xml:space="preserve"> 023-45625433</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3033E3"/>
    <w:rsid w:val="00332DFD"/>
    <w:rsid w:val="00357D9E"/>
    <w:rsid w:val="00550ABE"/>
    <w:rsid w:val="007B419D"/>
    <w:rsid w:val="00891A31"/>
    <w:rsid w:val="009B67B8"/>
    <w:rsid w:val="00B03CCD"/>
    <w:rsid w:val="00FE7556"/>
    <w:rsid w:val="01047CD7"/>
    <w:rsid w:val="014067AF"/>
    <w:rsid w:val="01474EBF"/>
    <w:rsid w:val="01CF2C6C"/>
    <w:rsid w:val="01F3521E"/>
    <w:rsid w:val="026F5433"/>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336DB"/>
    <w:rsid w:val="0A3851D8"/>
    <w:rsid w:val="0A5C4B69"/>
    <w:rsid w:val="0AEC3BC7"/>
    <w:rsid w:val="0B9335CE"/>
    <w:rsid w:val="0BA21040"/>
    <w:rsid w:val="0C7927C4"/>
    <w:rsid w:val="0C9B098C"/>
    <w:rsid w:val="0D0D5DFE"/>
    <w:rsid w:val="0D11728C"/>
    <w:rsid w:val="0D673E11"/>
    <w:rsid w:val="0DB50EFE"/>
    <w:rsid w:val="0DDA54E4"/>
    <w:rsid w:val="0E3A5F83"/>
    <w:rsid w:val="0F3006DA"/>
    <w:rsid w:val="0F836721"/>
    <w:rsid w:val="103645A3"/>
    <w:rsid w:val="107B59E5"/>
    <w:rsid w:val="11003CB0"/>
    <w:rsid w:val="111445C7"/>
    <w:rsid w:val="1158083A"/>
    <w:rsid w:val="11ED4F3E"/>
    <w:rsid w:val="11F03528"/>
    <w:rsid w:val="12C921C4"/>
    <w:rsid w:val="13850DCB"/>
    <w:rsid w:val="13871C70"/>
    <w:rsid w:val="13A71CB4"/>
    <w:rsid w:val="13AF1D43"/>
    <w:rsid w:val="13C643C6"/>
    <w:rsid w:val="13CE1647"/>
    <w:rsid w:val="141A11EA"/>
    <w:rsid w:val="14200702"/>
    <w:rsid w:val="14377285"/>
    <w:rsid w:val="148E377E"/>
    <w:rsid w:val="149F6B5C"/>
    <w:rsid w:val="154D5788"/>
    <w:rsid w:val="1580711B"/>
    <w:rsid w:val="16CA1281"/>
    <w:rsid w:val="17E44986"/>
    <w:rsid w:val="189B0D0B"/>
    <w:rsid w:val="194A1770"/>
    <w:rsid w:val="19917D9C"/>
    <w:rsid w:val="19B906A4"/>
    <w:rsid w:val="19E450B6"/>
    <w:rsid w:val="1A1F744B"/>
    <w:rsid w:val="1A4854EC"/>
    <w:rsid w:val="1A4E36D6"/>
    <w:rsid w:val="1B346789"/>
    <w:rsid w:val="1B6F15B6"/>
    <w:rsid w:val="1BAA2EDC"/>
    <w:rsid w:val="1CE157EE"/>
    <w:rsid w:val="1D014A01"/>
    <w:rsid w:val="1D022362"/>
    <w:rsid w:val="1DD26311"/>
    <w:rsid w:val="1E052E25"/>
    <w:rsid w:val="1EF67CA4"/>
    <w:rsid w:val="1FCD26AF"/>
    <w:rsid w:val="20642787"/>
    <w:rsid w:val="21556F04"/>
    <w:rsid w:val="22403BD3"/>
    <w:rsid w:val="238B1B7D"/>
    <w:rsid w:val="24932670"/>
    <w:rsid w:val="249921C4"/>
    <w:rsid w:val="24B92327"/>
    <w:rsid w:val="2533755C"/>
    <w:rsid w:val="25D56BC2"/>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CC52BA4"/>
    <w:rsid w:val="2D8D2A49"/>
    <w:rsid w:val="2E5F27E3"/>
    <w:rsid w:val="2F5E386C"/>
    <w:rsid w:val="2FE029D7"/>
    <w:rsid w:val="2FF06E00"/>
    <w:rsid w:val="31522C91"/>
    <w:rsid w:val="315D199F"/>
    <w:rsid w:val="315F0B22"/>
    <w:rsid w:val="31D84415"/>
    <w:rsid w:val="32285F6F"/>
    <w:rsid w:val="32770556"/>
    <w:rsid w:val="329C0913"/>
    <w:rsid w:val="3337290D"/>
    <w:rsid w:val="337E2CC1"/>
    <w:rsid w:val="3487240B"/>
    <w:rsid w:val="348F3F6A"/>
    <w:rsid w:val="3525372D"/>
    <w:rsid w:val="352930DB"/>
    <w:rsid w:val="35573069"/>
    <w:rsid w:val="358C217E"/>
    <w:rsid w:val="359F188C"/>
    <w:rsid w:val="362D2433"/>
    <w:rsid w:val="36C9128A"/>
    <w:rsid w:val="36E32B80"/>
    <w:rsid w:val="37841E99"/>
    <w:rsid w:val="37BF1123"/>
    <w:rsid w:val="37F26E25"/>
    <w:rsid w:val="38BE4696"/>
    <w:rsid w:val="39166507"/>
    <w:rsid w:val="39B82A39"/>
    <w:rsid w:val="39F33306"/>
    <w:rsid w:val="3A2B287B"/>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2575FD"/>
    <w:rsid w:val="3F3617F2"/>
    <w:rsid w:val="3FDE15A7"/>
    <w:rsid w:val="4004000C"/>
    <w:rsid w:val="403635FE"/>
    <w:rsid w:val="40FD5440"/>
    <w:rsid w:val="40FE0688"/>
    <w:rsid w:val="411B0EC6"/>
    <w:rsid w:val="411B6CE5"/>
    <w:rsid w:val="412070D7"/>
    <w:rsid w:val="41314E40"/>
    <w:rsid w:val="4142353C"/>
    <w:rsid w:val="415C674B"/>
    <w:rsid w:val="426C1EA8"/>
    <w:rsid w:val="42E86A87"/>
    <w:rsid w:val="43136432"/>
    <w:rsid w:val="43770A38"/>
    <w:rsid w:val="43C46C7C"/>
    <w:rsid w:val="443A3B12"/>
    <w:rsid w:val="44A854C2"/>
    <w:rsid w:val="44DD597D"/>
    <w:rsid w:val="465B470D"/>
    <w:rsid w:val="46650276"/>
    <w:rsid w:val="469D6AD4"/>
    <w:rsid w:val="46FC0F8E"/>
    <w:rsid w:val="46FC41C7"/>
    <w:rsid w:val="46FC53C4"/>
    <w:rsid w:val="47674801"/>
    <w:rsid w:val="48225EF7"/>
    <w:rsid w:val="495C4A24"/>
    <w:rsid w:val="4AD70EE7"/>
    <w:rsid w:val="4B7951CB"/>
    <w:rsid w:val="4B7C315C"/>
    <w:rsid w:val="4BAB7F90"/>
    <w:rsid w:val="4DAC4ACA"/>
    <w:rsid w:val="4DB94F92"/>
    <w:rsid w:val="4F186D58"/>
    <w:rsid w:val="50EC262C"/>
    <w:rsid w:val="522F6E0C"/>
    <w:rsid w:val="52463BA1"/>
    <w:rsid w:val="526D035C"/>
    <w:rsid w:val="53A7227D"/>
    <w:rsid w:val="53C0244D"/>
    <w:rsid w:val="53DD4D4E"/>
    <w:rsid w:val="53E578CE"/>
    <w:rsid w:val="53EF0CAB"/>
    <w:rsid w:val="543B029D"/>
    <w:rsid w:val="545D0246"/>
    <w:rsid w:val="554E5773"/>
    <w:rsid w:val="555A3CBC"/>
    <w:rsid w:val="55DF2644"/>
    <w:rsid w:val="55F6730D"/>
    <w:rsid w:val="56530F5D"/>
    <w:rsid w:val="5842572D"/>
    <w:rsid w:val="5AE75037"/>
    <w:rsid w:val="5B58571C"/>
    <w:rsid w:val="5B8376C2"/>
    <w:rsid w:val="5B96133A"/>
    <w:rsid w:val="5C005E2C"/>
    <w:rsid w:val="5C1336B7"/>
    <w:rsid w:val="5C263CE4"/>
    <w:rsid w:val="5C5D2777"/>
    <w:rsid w:val="5CE928CE"/>
    <w:rsid w:val="5D290C69"/>
    <w:rsid w:val="5D537F41"/>
    <w:rsid w:val="5D617608"/>
    <w:rsid w:val="5EFA176D"/>
    <w:rsid w:val="5F0247F9"/>
    <w:rsid w:val="5F2D4A41"/>
    <w:rsid w:val="601C34ED"/>
    <w:rsid w:val="60A958A9"/>
    <w:rsid w:val="60D22ADB"/>
    <w:rsid w:val="61025A59"/>
    <w:rsid w:val="613D5BBC"/>
    <w:rsid w:val="61536C39"/>
    <w:rsid w:val="628230A6"/>
    <w:rsid w:val="62944DD7"/>
    <w:rsid w:val="62AB52B7"/>
    <w:rsid w:val="63324453"/>
    <w:rsid w:val="634D1435"/>
    <w:rsid w:val="636719E9"/>
    <w:rsid w:val="63C25DC5"/>
    <w:rsid w:val="63C62057"/>
    <w:rsid w:val="63C73832"/>
    <w:rsid w:val="64FB113D"/>
    <w:rsid w:val="654E4D38"/>
    <w:rsid w:val="656152C6"/>
    <w:rsid w:val="6587477F"/>
    <w:rsid w:val="658C3A08"/>
    <w:rsid w:val="65C031CA"/>
    <w:rsid w:val="65CE6852"/>
    <w:rsid w:val="66267C04"/>
    <w:rsid w:val="663F505A"/>
    <w:rsid w:val="665C1999"/>
    <w:rsid w:val="667257FB"/>
    <w:rsid w:val="667F2393"/>
    <w:rsid w:val="66BA0B2E"/>
    <w:rsid w:val="66EE5541"/>
    <w:rsid w:val="67B06148"/>
    <w:rsid w:val="692172FD"/>
    <w:rsid w:val="698903A0"/>
    <w:rsid w:val="6A272414"/>
    <w:rsid w:val="6A3829EE"/>
    <w:rsid w:val="6B474EF5"/>
    <w:rsid w:val="6B5F4D54"/>
    <w:rsid w:val="6C1E0956"/>
    <w:rsid w:val="6C560CAE"/>
    <w:rsid w:val="6D0615E4"/>
    <w:rsid w:val="6D4A5A33"/>
    <w:rsid w:val="6D903FF5"/>
    <w:rsid w:val="6DA955B8"/>
    <w:rsid w:val="6DE346AB"/>
    <w:rsid w:val="6F7F6A2D"/>
    <w:rsid w:val="6FB442D1"/>
    <w:rsid w:val="6FE24EDE"/>
    <w:rsid w:val="6FFB2E76"/>
    <w:rsid w:val="70072627"/>
    <w:rsid w:val="713956AC"/>
    <w:rsid w:val="71C34D91"/>
    <w:rsid w:val="71ED38AA"/>
    <w:rsid w:val="720229AA"/>
    <w:rsid w:val="723B1C8D"/>
    <w:rsid w:val="72DB435C"/>
    <w:rsid w:val="750837F0"/>
    <w:rsid w:val="764F62AB"/>
    <w:rsid w:val="765C45EC"/>
    <w:rsid w:val="768A7619"/>
    <w:rsid w:val="76E14979"/>
    <w:rsid w:val="76E7678F"/>
    <w:rsid w:val="77583EAC"/>
    <w:rsid w:val="77EA362A"/>
    <w:rsid w:val="7875383E"/>
    <w:rsid w:val="7879196D"/>
    <w:rsid w:val="795D7EC1"/>
    <w:rsid w:val="796D60A4"/>
    <w:rsid w:val="79A031D5"/>
    <w:rsid w:val="79C23552"/>
    <w:rsid w:val="79CC58E5"/>
    <w:rsid w:val="7A1525F7"/>
    <w:rsid w:val="7A1C476C"/>
    <w:rsid w:val="7A1C7C7E"/>
    <w:rsid w:val="7A3E6CB6"/>
    <w:rsid w:val="7A4B4CA4"/>
    <w:rsid w:val="7A680D2D"/>
    <w:rsid w:val="7AC6109E"/>
    <w:rsid w:val="7B260559"/>
    <w:rsid w:val="7B420052"/>
    <w:rsid w:val="7BD06A28"/>
    <w:rsid w:val="7C1E4CD7"/>
    <w:rsid w:val="7C3A7C0B"/>
    <w:rsid w:val="7C5248E4"/>
    <w:rsid w:val="7C566698"/>
    <w:rsid w:val="7C9D7F6E"/>
    <w:rsid w:val="7CFD15EC"/>
    <w:rsid w:val="7FA960B8"/>
    <w:rsid w:val="FBF7C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6"/>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7711</Words>
  <Characters>21008</Characters>
  <Lines>161</Lines>
  <Paragraphs>45</Paragraphs>
  <TotalTime>205</TotalTime>
  <ScaleCrop>false</ScaleCrop>
  <LinksUpToDate>false</LinksUpToDate>
  <CharactersWithSpaces>21460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kk</cp:lastModifiedBy>
  <dcterms:modified xsi:type="dcterms:W3CDTF">2025-10-20T06:31:52Z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9EDAFD8FD9424A54844071572B3E9A06_13</vt:lpwstr>
  </property>
</Properties>
</file>