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60" w:lineRule="exact"/>
        <w:jc w:val="center"/>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rPr>
        <w:t>重庆市铜梁区围龙镇人民政府</w:t>
      </w:r>
      <w:r>
        <w:rPr>
          <w:rFonts w:hint="eastAsia" w:ascii="方正小标宋_GBK" w:hAnsi="方正小标宋_GBK" w:eastAsia="方正小标宋_GBK" w:cs="方正小标宋_GBK"/>
          <w:sz w:val="44"/>
          <w:szCs w:val="44"/>
          <w:shd w:val="clear" w:color="auto" w:fill="FFFFFF"/>
        </w:rPr>
        <w:t>2024年度</w:t>
      </w:r>
      <w:r>
        <w:rPr>
          <w:rFonts w:hint="eastAsia" w:ascii="方正小标宋_GBK" w:hAnsi="方正小标宋_GBK" w:eastAsia="方正小标宋_GBK" w:cs="方正小标宋_GBK"/>
          <w:sz w:val="44"/>
          <w:szCs w:val="44"/>
          <w:shd w:val="clear" w:color="auto" w:fill="FFFFFF"/>
          <w:lang w:eastAsia="zh-CN"/>
        </w:rPr>
        <w:t>部门</w:t>
      </w:r>
      <w:r>
        <w:rPr>
          <w:rFonts w:hint="eastAsia" w:ascii="方正小标宋_GBK" w:hAnsi="方正小标宋_GBK" w:eastAsia="方正小标宋_GBK" w:cs="方正小标宋_GBK"/>
          <w:sz w:val="44"/>
          <w:szCs w:val="44"/>
          <w:shd w:val="clear" w:color="auto" w:fill="FFFFFF"/>
        </w:rPr>
        <w:t>决算公开说明</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leftChars="0" w:firstLine="640" w:firstLineChars="200"/>
        <w:textAlignment w:val="auto"/>
        <w:rPr>
          <w:rStyle w:val="8"/>
          <w:rFonts w:hint="default" w:ascii="Times New Roman" w:hAnsi="Times New Roman" w:eastAsia="方正黑体_GBK" w:cs="Times New Roman"/>
          <w:b w:val="0"/>
          <w:sz w:val="32"/>
          <w:szCs w:val="32"/>
          <w:shd w:val="clear" w:color="auto" w:fill="FFFFFF"/>
        </w:rPr>
      </w:pP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leftChars="0" w:firstLine="640" w:firstLineChars="200"/>
        <w:textAlignment w:val="auto"/>
        <w:rPr>
          <w:rStyle w:val="8"/>
          <w:rFonts w:hint="default" w:ascii="Times New Roman" w:hAnsi="Times New Roman" w:eastAsia="方正黑体_GBK" w:cs="Times New Roman"/>
          <w:b w:val="0"/>
          <w:sz w:val="32"/>
          <w:szCs w:val="32"/>
          <w:shd w:val="clear" w:color="auto" w:fill="FFFFFF"/>
        </w:rPr>
      </w:pPr>
      <w:r>
        <w:rPr>
          <w:rStyle w:val="8"/>
          <w:rFonts w:hint="default" w:ascii="Times New Roman" w:hAnsi="Times New Roman" w:eastAsia="方正黑体_GBK" w:cs="Times New Roman"/>
          <w:b w:val="0"/>
          <w:sz w:val="32"/>
          <w:szCs w:val="32"/>
          <w:shd w:val="clear" w:color="auto" w:fill="FFFFFF"/>
        </w:rPr>
        <w:t>一、部门基本情况</w:t>
      </w:r>
      <w:bookmarkStart w:id="0" w:name="_GoBack"/>
      <w:bookmarkEnd w:id="0"/>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楷体_GBK" w:cs="Times New Roman"/>
          <w:sz w:val="32"/>
          <w:szCs w:val="32"/>
        </w:rPr>
      </w:pPr>
      <w:r>
        <w:rPr>
          <w:rStyle w:val="8"/>
          <w:rFonts w:hint="default" w:ascii="Times New Roman" w:hAnsi="Times New Roman" w:eastAsia="方正楷体_GBK" w:cs="Times New Roman"/>
          <w:b w:val="0"/>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在区委、区政府的领导下，贯彻执行党的路线、方针、政策和国家的各项法律、法规；负责辖区内的地区性、群众性、公益性、社会性工作。2.落实本行政区域的经济社会发展计划和措施，提高人民群众的生活水平和生活质量。3.开展法治宣传教育，保障公民合法权利，维护社会平安稳定。4.制定社会各项事业的发展计划，发展教育、卫生、科技、民政、文化、体育等事业；推进社会保障、社会福利和养老保险等工作。5.加强镇级财政的监督和管理。6.指导村（居）民委员会的组织制度建设和业务建设，促进村（居）民委员会民主自治。7.组织实施镇村建设规划，保护和改善生活环境和生态环境。8.承办上级和本级党委、人大交办的其他事项。</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楷体_GBK" w:cs="Times New Roman"/>
          <w:sz w:val="32"/>
          <w:szCs w:val="32"/>
        </w:rPr>
      </w:pPr>
      <w:r>
        <w:rPr>
          <w:rStyle w:val="8"/>
          <w:rFonts w:hint="default" w:ascii="Times New Roman" w:hAnsi="Times New Roman" w:eastAsia="方正楷体_GBK" w:cs="Times New Roman"/>
          <w:b w:val="0"/>
          <w:sz w:val="32"/>
          <w:szCs w:val="32"/>
          <w:shd w:val="clear" w:color="auto" w:fill="FFFFFF"/>
        </w:rPr>
        <w:t>（二）机构设置</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根据编制情况，我镇共设置17个内部机构，其中事业编制机构7个，行政编制机构10个。我镇7个事业编制机构分别是退役军人服务站、社会保障所、文化活动中心、乡村产业培育中心、乡村生态治理中心、农业服务中心、综合行政执法大队；行政编制机构10个，分别是党政办、党群办（负责群团、组织工作）、人大办、</w:t>
      </w:r>
      <w:r>
        <w:rPr>
          <w:rFonts w:hint="default" w:ascii="Times New Roman" w:hAnsi="Times New Roman" w:eastAsia="方正仿宋_GBK" w:cs="Times New Roman"/>
          <w:sz w:val="32"/>
          <w:szCs w:val="32"/>
        </w:rPr>
        <w:t>应急管理办公室（统筹负责安全生产综合监管、应急管理职责</w:t>
      </w:r>
      <w:r>
        <w:rPr>
          <w:rFonts w:hint="default" w:ascii="Times New Roman" w:hAnsi="Times New Roman" w:eastAsia="方正仿宋_GBK" w:cs="Times New Roman"/>
          <w:color w:val="000000"/>
          <w:sz w:val="32"/>
          <w:szCs w:val="32"/>
        </w:rPr>
        <w:t>）、规划建设管理环保办（负责规划、村镇管理、国土、环保等工作）、经发办、</w:t>
      </w:r>
      <w:r>
        <w:rPr>
          <w:rFonts w:hint="default" w:ascii="Times New Roman" w:hAnsi="Times New Roman" w:eastAsia="方正仿宋_GBK" w:cs="Times New Roman"/>
          <w:sz w:val="32"/>
          <w:szCs w:val="32"/>
        </w:rPr>
        <w:t>民政和社会事务办公室(挂卫生健康办公室)、</w:t>
      </w:r>
      <w:r>
        <w:rPr>
          <w:rFonts w:hint="default" w:ascii="Times New Roman" w:hAnsi="Times New Roman" w:eastAsia="方正仿宋_GBK" w:cs="Times New Roman"/>
          <w:color w:val="000000"/>
          <w:sz w:val="32"/>
          <w:szCs w:val="32"/>
        </w:rPr>
        <w:t>财政办、</w:t>
      </w:r>
      <w:r>
        <w:rPr>
          <w:rFonts w:hint="default" w:ascii="Times New Roman" w:hAnsi="Times New Roman" w:eastAsia="方正仿宋_GBK" w:cs="Times New Roman"/>
          <w:sz w:val="32"/>
          <w:szCs w:val="32"/>
        </w:rPr>
        <w:t>平安建设办公室（统筹负责信访、社会治安综合治理、防范和处理邪教等职责）、综合行政执法办公室（与综合行政执法大队统筹运行，主要负责集中行使依法授权或委托的行政执法权）</w:t>
      </w:r>
      <w:r>
        <w:rPr>
          <w:rFonts w:hint="default" w:ascii="Times New Roman" w:hAnsi="Times New Roman" w:eastAsia="方正仿宋_GBK" w:cs="Times New Roman"/>
          <w:color w:val="000000"/>
          <w:sz w:val="32"/>
          <w:szCs w:val="32"/>
        </w:rPr>
        <w:t>。</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adjustRightInd/>
        <w:spacing w:beforeAutospacing="0" w:afterAutospacing="0" w:line="560" w:lineRule="exact"/>
        <w:ind w:left="0" w:leftChars="0" w:firstLine="640" w:firstLineChars="200"/>
        <w:textAlignment w:val="auto"/>
        <w:rPr>
          <w:rStyle w:val="8"/>
          <w:rFonts w:hint="default" w:ascii="Times New Roman" w:hAnsi="Times New Roman" w:eastAsia="方正楷体_GBK" w:cs="Times New Roman"/>
          <w:b w:val="0"/>
          <w:sz w:val="32"/>
          <w:szCs w:val="32"/>
          <w:shd w:val="clear" w:color="auto" w:fill="FFFFFF"/>
        </w:rPr>
      </w:pPr>
      <w:r>
        <w:rPr>
          <w:rStyle w:val="8"/>
          <w:rFonts w:hint="default" w:ascii="Times New Roman" w:hAnsi="Times New Roman" w:eastAsia="方正楷体_GBK" w:cs="Times New Roman"/>
          <w:b w:val="0"/>
          <w:sz w:val="32"/>
          <w:szCs w:val="32"/>
          <w:shd w:val="clear" w:color="auto" w:fill="FFFFFF"/>
        </w:rPr>
        <w:t>(三)单位构成</w:t>
      </w:r>
    </w:p>
    <w:p>
      <w:pPr>
        <w:keepNext w:val="0"/>
        <w:keepLines w:val="0"/>
        <w:pageBreakBefore w:val="0"/>
        <w:widowControl/>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预算单位构成看，纳入本部门2024年度决算编制的二级预算单位主要包括重庆市铜梁区围龙镇人民政府（本级）、重庆市铜梁区围龙镇农业服务中心、重庆市铜梁区围龙镇文化服务中心、重庆市铜梁区围龙镇劳动就业和社会保障服务所、重庆市铜梁区围龙镇退役军人服务站、重庆市铜梁区围龙镇综合行政执法大队、重庆市铜梁区围龙镇乡村产业培育中心、重庆市铜梁区围龙镇乡村生态治理中心。</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leftChars="0" w:firstLine="640" w:firstLineChars="200"/>
        <w:textAlignment w:val="auto"/>
        <w:rPr>
          <w:rStyle w:val="8"/>
          <w:rFonts w:hint="default" w:ascii="Times New Roman" w:hAnsi="Times New Roman" w:eastAsia="方正黑体_GBK" w:cs="Times New Roman"/>
          <w:b w:val="0"/>
          <w:sz w:val="32"/>
          <w:szCs w:val="32"/>
          <w:shd w:val="clear" w:color="auto" w:fill="FFFFFF"/>
        </w:rPr>
      </w:pPr>
      <w:r>
        <w:rPr>
          <w:rStyle w:val="8"/>
          <w:rFonts w:hint="default" w:ascii="Times New Roman" w:hAnsi="Times New Roman" w:eastAsia="方正黑体_GBK" w:cs="Times New Roman"/>
          <w:b w:val="0"/>
          <w:sz w:val="32"/>
          <w:szCs w:val="32"/>
          <w:shd w:val="clear" w:color="auto" w:fill="FFFFFF"/>
        </w:rPr>
        <w:t>二、部门决算收支情况说明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Cs/>
          <w:sz w:val="32"/>
          <w:szCs w:val="32"/>
          <w:shd w:val="clear" w:color="auto" w:fill="FFFFFF"/>
        </w:rPr>
        <w:t>（</w:t>
      </w:r>
      <w:r>
        <w:rPr>
          <w:rFonts w:hint="default" w:ascii="Times New Roman" w:hAnsi="Times New Roman" w:eastAsia="方正楷体_GBK" w:cs="Times New Roman"/>
          <w:bCs/>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b w:val="0"/>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2024年度收入总计3507.48万元，支出总计</w:t>
      </w:r>
      <w:r>
        <w:rPr>
          <w:rFonts w:hint="default" w:ascii="Times New Roman" w:hAnsi="Times New Roman" w:eastAsia="方正仿宋_GBK" w:cs="Times New Roman"/>
          <w:sz w:val="32"/>
          <w:szCs w:val="32"/>
        </w:rPr>
        <w:t>3507.48</w:t>
      </w:r>
      <w:r>
        <w:rPr>
          <w:rFonts w:hint="default" w:ascii="Times New Roman" w:hAnsi="Times New Roman" w:eastAsia="方正仿宋_GBK" w:cs="Times New Roman"/>
          <w:sz w:val="32"/>
          <w:szCs w:val="32"/>
          <w:shd w:val="clear" w:color="auto" w:fill="FFFFFF"/>
        </w:rPr>
        <w:t>万元。收、支与2023年度相比，减少1468.99万元，下降29.5%，主要原因是2024年拨付泥结石路、四好农村路、巴蜀美丽庭院项目资金共计990.60万元，较2023年度减少1086.00万元；由于2024年财政资金紧张，较2023年缩减约362.00万元项目及公用经费资金，故收、支较上年度减少1468.99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b w:val="0"/>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3507.48万元，与2023年度相比，减少1468.99万元，下降29.5%，主要原因是2024年拨付泥结石路、四好农村路、巴蜀美丽庭院项目资金共计990.60万元，较2023年度减少1086.00万元；由于2024年财政资金紧张，较2023年缩减约362.00万元项目及公用经费资金，故收入较上年度减少1468.99万元。其中：财政拨款收入</w:t>
      </w:r>
      <w:r>
        <w:rPr>
          <w:rFonts w:hint="default" w:ascii="Times New Roman" w:hAnsi="Times New Roman" w:eastAsia="方正仿宋_GBK" w:cs="Times New Roman"/>
          <w:sz w:val="32"/>
          <w:szCs w:val="32"/>
        </w:rPr>
        <w:t>3507.48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b w:val="0"/>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3507.48</w:t>
      </w:r>
      <w:r>
        <w:rPr>
          <w:rFonts w:hint="default" w:ascii="Times New Roman" w:hAnsi="Times New Roman" w:eastAsia="方正仿宋_GBK" w:cs="Times New Roman"/>
          <w:sz w:val="32"/>
          <w:szCs w:val="32"/>
          <w:shd w:val="clear" w:color="auto" w:fill="FFFFFF"/>
        </w:rPr>
        <w:t>万元，与2023年度相比，减少1468.99万元，下降29.5%，主要原因是2024年拨付泥结石路、四好农村路、巴蜀美丽庭院项目资金共计990.60万元，较2023年度减少1086.00万元；由于2024年财政资金紧张，较2023年缩减约362.00万元项目及公用经费资金，故支出较上年度减少1468.99万元。其中：基本支出</w:t>
      </w:r>
      <w:r>
        <w:rPr>
          <w:rFonts w:hint="default" w:ascii="Times New Roman" w:hAnsi="Times New Roman" w:eastAsia="方正仿宋_GBK" w:cs="Times New Roman"/>
          <w:sz w:val="32"/>
          <w:szCs w:val="32"/>
        </w:rPr>
        <w:t>1548.70</w:t>
      </w:r>
      <w:r>
        <w:rPr>
          <w:rFonts w:hint="default" w:ascii="Times New Roman" w:hAnsi="Times New Roman" w:eastAsia="方正仿宋_GBK" w:cs="Times New Roman"/>
          <w:sz w:val="32"/>
          <w:szCs w:val="32"/>
          <w:shd w:val="clear" w:color="auto" w:fill="FFFFFF"/>
        </w:rPr>
        <w:t>万元，占44.15%；项目支出</w:t>
      </w:r>
      <w:r>
        <w:rPr>
          <w:rFonts w:hint="default" w:ascii="Times New Roman" w:hAnsi="Times New Roman" w:eastAsia="方正仿宋_GBK" w:cs="Times New Roman"/>
          <w:sz w:val="32"/>
          <w:szCs w:val="32"/>
        </w:rPr>
        <w:t>1958.78</w:t>
      </w:r>
      <w:r>
        <w:rPr>
          <w:rFonts w:hint="default" w:ascii="Times New Roman" w:hAnsi="Times New Roman" w:eastAsia="方正仿宋_GBK" w:cs="Times New Roman"/>
          <w:sz w:val="32"/>
          <w:szCs w:val="32"/>
          <w:shd w:val="clear" w:color="auto" w:fill="FFFFFF"/>
        </w:rPr>
        <w:t>万元，占55.85%；经营支出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4.结转结余情况。本部门</w:t>
      </w:r>
      <w:r>
        <w:rPr>
          <w:rFonts w:hint="default" w:ascii="Times New Roman" w:hAnsi="Times New Roman" w:eastAsia="方正仿宋_GBK" w:cs="Times New Roman"/>
          <w:sz w:val="32"/>
          <w:szCs w:val="32"/>
          <w:shd w:val="clear" w:color="auto" w:fill="FFFFFF"/>
        </w:rPr>
        <w:t>2024年度年末无结转和结余</w:t>
      </w:r>
      <w:r>
        <w:rPr>
          <w:rFonts w:hint="default" w:ascii="Times New Roman" w:hAnsi="Times New Roman" w:eastAsia="方正仿宋_GBK" w:cs="Times New Roman"/>
          <w:sz w:val="32"/>
          <w:szCs w:val="32"/>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3507.48万元。与2023年相比，财政拨款收、支总计各减少1468.99万元，下降29.5%。主要原因是2024年拨付泥结石路、四好农村路、巴蜀美丽庭院项目资金共计990.60万元，较2023年度减少1086.00万元；由于2024年财政资金紧张，较2023年缩减约362.00万元项目及公用经费资金故财政拨款收、支较上年度减少1468.99万元。</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b w:val="0"/>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2947.48</w:t>
      </w:r>
      <w:r>
        <w:rPr>
          <w:rFonts w:hint="default" w:ascii="Times New Roman" w:hAnsi="Times New Roman" w:eastAsia="方正仿宋_GBK" w:cs="Times New Roman"/>
          <w:sz w:val="32"/>
          <w:szCs w:val="32"/>
          <w:shd w:val="clear" w:color="auto" w:fill="FFFFFF"/>
        </w:rPr>
        <w:t>万元，与2023年度相比，减少528.99万元，下降15.2%。主要原因是2024年拨付泥结石路、四好农村路工程款，较2023年度减少150.00万元； 由于2024年财政资金紧张，较2023年缩减约362.00万元项目及公用经费资金，故一般公共预算财政拨款收入较上年度减少528.99万元。较年初预算数增加18.60万元，增长0.6%。主要原因是年中调整预算，增加往年拖欠工程款项目预算。此外，年初财政拨款结转和结余0.00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b w:val="0"/>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2947.48</w:t>
      </w:r>
      <w:r>
        <w:rPr>
          <w:rFonts w:hint="default" w:ascii="Times New Roman" w:hAnsi="Times New Roman" w:eastAsia="方正仿宋_GBK" w:cs="Times New Roman"/>
          <w:sz w:val="32"/>
          <w:szCs w:val="32"/>
          <w:shd w:val="clear" w:color="auto" w:fill="FFFFFF"/>
        </w:rPr>
        <w:t>万元，与2023年度相比，减少528.99万元，下降15.2%。主要原因是2024年拨付泥结石路、四好农村路工程款，较2023年度减少150.00万元； 由于2024年财政资金紧张，较2023年缩减约362.00万元项目及公用经费资金，故一般公共预算财政拨款收入较上年度减少528.99万元。较年初预算数增加18.60万元，增长0.6%。主要原因是年中调整预算，增加往年拖欠工程款项目预算。</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3.结转结余情况。本部门</w:t>
      </w:r>
      <w:r>
        <w:rPr>
          <w:rFonts w:hint="default" w:ascii="Times New Roman" w:hAnsi="Times New Roman" w:eastAsia="方正仿宋_GBK" w:cs="Times New Roman"/>
          <w:sz w:val="32"/>
          <w:szCs w:val="32"/>
          <w:shd w:val="clear" w:color="auto" w:fill="FFFFFF"/>
        </w:rPr>
        <w:t>2024年度年末无一般公共预算财政拨款结转和结余</w:t>
      </w:r>
      <w:r>
        <w:rPr>
          <w:rFonts w:hint="default" w:ascii="Times New Roman" w:hAnsi="Times New Roman" w:eastAsia="方正仿宋_GBK" w:cs="Times New Roman"/>
          <w:sz w:val="32"/>
          <w:szCs w:val="32"/>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b w:val="0"/>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本部门2024年度一般公共预算财政拨款支出主要用于以下几个方面：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672.08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22.80</w:t>
      </w:r>
      <w:r>
        <w:rPr>
          <w:rFonts w:hint="default" w:ascii="Times New Roman" w:hAnsi="Times New Roman" w:eastAsia="方正仿宋_GBK" w:cs="Times New Roman"/>
          <w:sz w:val="32"/>
          <w:szCs w:val="32"/>
          <w:shd w:val="clear" w:color="auto" w:fill="FFFFFF"/>
        </w:rPr>
        <w:t>%，较年初预算数减少102.74万元，下降13.3%，主要原因是2024年财政资金紧张，年中缩减部分项目资金预算。</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（2）科学技术支出</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0.34</w:t>
      </w:r>
      <w:r>
        <w:rPr>
          <w:rFonts w:hint="default" w:ascii="Times New Roman" w:hAnsi="Times New Roman" w:eastAsia="方正仿宋_GBK" w:cs="Times New Roman"/>
          <w:sz w:val="32"/>
          <w:szCs w:val="32"/>
          <w:shd w:val="clear" w:color="auto" w:fill="FFFFFF"/>
        </w:rPr>
        <w:t>%，较年初预算数增加10.00万元，增长100.0%，主要原因是年中调整增加2024年基层科普行动计划项目10.00万元。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（3）文化旅游体育与传媒支出</w:t>
      </w:r>
      <w:r>
        <w:rPr>
          <w:rFonts w:hint="default" w:ascii="Times New Roman" w:hAnsi="Times New Roman" w:eastAsia="方正仿宋_GBK" w:cs="Times New Roman"/>
          <w:sz w:val="32"/>
          <w:szCs w:val="32"/>
        </w:rPr>
        <w:t>60.43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2.05</w:t>
      </w:r>
      <w:r>
        <w:rPr>
          <w:rFonts w:hint="default" w:ascii="Times New Roman" w:hAnsi="Times New Roman" w:eastAsia="方正仿宋_GBK" w:cs="Times New Roman"/>
          <w:sz w:val="32"/>
          <w:szCs w:val="32"/>
          <w:shd w:val="clear" w:color="auto" w:fill="FFFFFF"/>
        </w:rPr>
        <w:t>%，较年初预算数减少6.49万元，下降9.7%，主要原因是2024年财政资金紧张，年中缩减部分项目资金预算。</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（4）社会保障与就业支出358.25万元，占12.15%，较年初预算数增加0.62万元，增长0.2%，主要原因是调整在职人员社会保险</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（5）卫生健康支出68.29万元，占2.32%，较年初预算数减少17.25万元，下降20.2%，主要原因是2024年退休2名人员，医疗保险较年初预算减少。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（6）节能环保支出90.97万元，占3.09%，较年初预算数增加12.66万元，增长16.2%，主要原因是年中调整预算，增加支付工程款。</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（7）城乡社区支出50.20万元，占1.70%，较年初预算数减少94.50万元，下降65.3%，主要原因是2024年财政资金紧张，缩减了市政环卫、垃圾清运等项目预算资金。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（8）农林水支出1205.27万元，占40.89%，较年初预算数减少63.41万元，下降5.0%，主要原因是2024年财政资金紧张，缩减了公用经费、河长制等项目预算资金。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（9）交通运输支出297.18万元，占10.08%，较年初预算数增加254.88万元，增长602.6%，主要原因是年中调整预算，增加泥结石路硬化项目、四好农村公路项目往年拖欠工程款。</w:t>
      </w:r>
    </w:p>
    <w:p>
      <w:pPr>
        <w:keepNext w:val="0"/>
        <w:keepLines w:val="0"/>
        <w:pageBreakBefore w:val="0"/>
        <w:widowControl/>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（10）住房保障支出73.99万元，占2.51%，较年初预算数减少1.59万元，下降2.1%，主要原因是2024年退休2名人员，所以住房公积金减少了。</w:t>
      </w:r>
    </w:p>
    <w:p>
      <w:pPr>
        <w:keepNext w:val="0"/>
        <w:keepLines w:val="0"/>
        <w:pageBreakBefore w:val="0"/>
        <w:widowControl/>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（11）灾害防治及应急管理支出60.83万元，占2.06%，较年初预算数增加26.43万元，增长76.8%，主要原因是年中增加了抗旱防汛专项资金预算。</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1548.70</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1326.94</w:t>
      </w:r>
      <w:r>
        <w:rPr>
          <w:rFonts w:hint="default" w:ascii="Times New Roman" w:hAnsi="Times New Roman" w:eastAsia="方正仿宋_GBK" w:cs="Times New Roman"/>
          <w:sz w:val="32"/>
          <w:szCs w:val="32"/>
          <w:shd w:val="clear" w:color="auto" w:fill="FFFFFF"/>
        </w:rPr>
        <w:t>万元，与2023年度相比，减少8.27万元，下降0.6%，主要原因是2024年退休2名人员，所以人员经费减少了。人员经费用途主要包括基本工资、津贴补贴、奖金、社会保障缴费、绩效奖励、退休干部健康休养费等。公用经费</w:t>
      </w:r>
      <w:r>
        <w:rPr>
          <w:rFonts w:hint="default" w:ascii="Times New Roman" w:hAnsi="Times New Roman" w:eastAsia="方正仿宋_GBK" w:cs="Times New Roman"/>
          <w:sz w:val="32"/>
          <w:szCs w:val="32"/>
        </w:rPr>
        <w:t>221.77</w:t>
      </w:r>
      <w:r>
        <w:rPr>
          <w:rFonts w:hint="default" w:ascii="Times New Roman" w:hAnsi="Times New Roman" w:eastAsia="方正仿宋_GBK" w:cs="Times New Roman"/>
          <w:sz w:val="32"/>
          <w:szCs w:val="32"/>
          <w:shd w:val="clear" w:color="auto" w:fill="FFFFFF"/>
        </w:rPr>
        <w:t>万元，与2023年度相比，减少44.37万元，下降16.7%，主要原因是2024年财政资金紧张，缩减了公用经费预算。公用经费用途主要包括办公费、印刷费、咨询费、水费、电费、邮电费、差旅费、维修（护）费、公务接待费、劳务费、工会经费、其他交通费等。</w:t>
      </w:r>
    </w:p>
    <w:p>
      <w:pPr>
        <w:keepNext w:val="0"/>
        <w:keepLines w:val="0"/>
        <w:pageBreakBefore w:val="0"/>
        <w:widowControl/>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560.00</w:t>
      </w:r>
      <w:r>
        <w:rPr>
          <w:rFonts w:hint="default" w:ascii="Times New Roman" w:hAnsi="Times New Roman" w:eastAsia="方正仿宋_GBK" w:cs="Times New Roman"/>
          <w:sz w:val="32"/>
          <w:szCs w:val="32"/>
          <w:shd w:val="clear" w:color="auto" w:fill="FFFFFF"/>
        </w:rPr>
        <w:t>万元，与2023年度相比，减少940.00万元，下降62.7%，主要原因是2024年收巴蜀美丽庭院项目资金共计560.00万元，较2023年度减少940.00万元。本年支出</w:t>
      </w:r>
      <w:r>
        <w:rPr>
          <w:rFonts w:hint="default" w:ascii="Times New Roman" w:hAnsi="Times New Roman" w:eastAsia="方正仿宋_GBK" w:cs="Times New Roman"/>
          <w:sz w:val="32"/>
          <w:szCs w:val="32"/>
        </w:rPr>
        <w:t>560.00</w:t>
      </w:r>
      <w:r>
        <w:rPr>
          <w:rFonts w:hint="default" w:ascii="Times New Roman" w:hAnsi="Times New Roman" w:eastAsia="方正仿宋_GBK" w:cs="Times New Roman"/>
          <w:sz w:val="32"/>
          <w:szCs w:val="32"/>
          <w:shd w:val="clear" w:color="auto" w:fill="FFFFFF"/>
        </w:rPr>
        <w:t>万元，与2023年度相比，减少940.00万元，下降62.7%，主要原因是2024年支付巴蜀美丽庭院项目资金共计560.00万元，较2023年度减少940.00万元。</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本部门2024年度无国有资本经营预算财政拨款支出。</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leftChars="0" w:firstLine="640" w:firstLineChars="200"/>
        <w:textAlignment w:val="auto"/>
        <w:rPr>
          <w:rStyle w:val="8"/>
          <w:rFonts w:hint="default" w:ascii="Times New Roman" w:hAnsi="Times New Roman" w:eastAsia="方正黑体_GBK" w:cs="Times New Roman"/>
          <w:b w:val="0"/>
          <w:sz w:val="32"/>
          <w:szCs w:val="32"/>
          <w:shd w:val="clear" w:color="auto" w:fill="FFFFFF"/>
        </w:rPr>
      </w:pPr>
      <w:r>
        <w:rPr>
          <w:rStyle w:val="8"/>
          <w:rFonts w:hint="default" w:ascii="Times New Roman" w:hAnsi="Times New Roman" w:eastAsia="方正黑体_GBK" w:cs="Times New Roman"/>
          <w:b w:val="0"/>
          <w:sz w:val="32"/>
          <w:szCs w:val="32"/>
          <w:shd w:val="clear" w:color="auto" w:fill="FFFFFF"/>
        </w:rPr>
        <w:t>三、财政拨款“三公”经费情况说明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（一）“三公”经费支出总体情况说明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9.80</w:t>
      </w:r>
      <w:r>
        <w:rPr>
          <w:rFonts w:hint="default" w:ascii="Times New Roman" w:hAnsi="Times New Roman" w:eastAsia="方正仿宋_GBK" w:cs="Times New Roman"/>
          <w:sz w:val="32"/>
          <w:szCs w:val="32"/>
          <w:shd w:val="clear" w:color="auto" w:fill="FFFFFF"/>
        </w:rPr>
        <w:t>万元，较年初预算数无增减。较上年支出数减少1.00万元，下降9.3%，主要原因是单位过紧日子，缩减“三公”经费支出。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2024年度本部门因公出国（境）费用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9.80</w:t>
      </w:r>
      <w:r>
        <w:rPr>
          <w:rFonts w:hint="default" w:ascii="Times New Roman" w:hAnsi="Times New Roman" w:eastAsia="方正仿宋_GBK" w:cs="Times New Roman"/>
          <w:sz w:val="32"/>
          <w:szCs w:val="32"/>
          <w:shd w:val="clear" w:color="auto" w:fill="FFFFFF"/>
        </w:rPr>
        <w:t>万元，主要用于单位公务车保险费、维修费、油费、过路费</w:t>
      </w:r>
      <w:r>
        <w:rPr>
          <w:rFonts w:hint="default" w:ascii="Times New Roman" w:hAnsi="Times New Roman" w:eastAsia="方正仿宋_GBK" w:cs="Times New Roman"/>
          <w:sz w:val="32"/>
          <w:szCs w:val="32"/>
        </w:rPr>
        <w:t>等。</w:t>
      </w:r>
      <w:r>
        <w:rPr>
          <w:rFonts w:hint="default" w:ascii="Times New Roman" w:hAnsi="Times New Roman" w:eastAsia="方正仿宋_GBK" w:cs="Times New Roman"/>
          <w:sz w:val="32"/>
          <w:szCs w:val="32"/>
          <w:shd w:val="clear" w:color="auto" w:fill="FFFFFF"/>
        </w:rPr>
        <w:t>费用支出较年初预算数无增减。较上年支出数减少1.00万元，下降9.3%，主要原因是单位过紧日子，缩减公务车运行维护费支出。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人。2024年本部门人均接待费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2.45</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leftChars="0" w:firstLine="640" w:firstLineChars="200"/>
        <w:textAlignment w:val="auto"/>
        <w:rPr>
          <w:rStyle w:val="8"/>
          <w:rFonts w:hint="default" w:ascii="Times New Roman" w:hAnsi="Times New Roman" w:eastAsia="方正黑体_GBK" w:cs="Times New Roman"/>
          <w:b w:val="0"/>
          <w:sz w:val="32"/>
          <w:szCs w:val="32"/>
          <w:shd w:val="clear" w:color="auto" w:fill="FFFFFF"/>
        </w:rPr>
      </w:pPr>
      <w:r>
        <w:rPr>
          <w:rStyle w:val="8"/>
          <w:rFonts w:hint="default" w:ascii="Times New Roman" w:hAnsi="Times New Roman" w:eastAsia="方正黑体_GBK" w:cs="Times New Roman"/>
          <w:b w:val="0"/>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1.54</w:t>
      </w:r>
      <w:r>
        <w:rPr>
          <w:rFonts w:hint="default" w:ascii="Times New Roman" w:hAnsi="Times New Roman" w:eastAsia="方正仿宋_GBK" w:cs="Times New Roman"/>
          <w:sz w:val="32"/>
          <w:szCs w:val="32"/>
          <w:shd w:val="clear" w:color="auto" w:fill="FFFFFF"/>
        </w:rPr>
        <w:t>万元，与2023年度相比，增加0.48万元，增长45.3%，主要原因是2024年人代会议召开次数增多，会议补助发放增加。本年度培训费支出</w:t>
      </w:r>
      <w:r>
        <w:rPr>
          <w:rFonts w:hint="default" w:ascii="Times New Roman" w:hAnsi="Times New Roman" w:eastAsia="方正仿宋_GBK" w:cs="Times New Roman"/>
          <w:sz w:val="32"/>
          <w:szCs w:val="32"/>
        </w:rPr>
        <w:t>4.09</w:t>
      </w:r>
      <w:r>
        <w:rPr>
          <w:rFonts w:hint="default" w:ascii="Times New Roman" w:hAnsi="Times New Roman" w:eastAsia="方正仿宋_GBK" w:cs="Times New Roman"/>
          <w:sz w:val="32"/>
          <w:szCs w:val="32"/>
          <w:shd w:val="clear" w:color="auto" w:fill="FFFFFF"/>
        </w:rPr>
        <w:t>万元，与2023年度相比，减少0.76万元，下降15.7%，主要原因是2024年单位人员外出培训次数减少。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2024年度本部门机关运行经费支出</w:t>
      </w:r>
      <w:r>
        <w:rPr>
          <w:rFonts w:hint="default" w:ascii="Times New Roman" w:hAnsi="Times New Roman" w:eastAsia="方正仿宋_GBK" w:cs="Times New Roman"/>
          <w:sz w:val="32"/>
          <w:szCs w:val="32"/>
        </w:rPr>
        <w:t>111.76</w:t>
      </w:r>
      <w:r>
        <w:rPr>
          <w:rFonts w:hint="default" w:ascii="Times New Roman" w:hAnsi="Times New Roman" w:eastAsia="方正仿宋_GBK" w:cs="Times New Roman"/>
          <w:sz w:val="32"/>
          <w:szCs w:val="32"/>
          <w:shd w:val="clear" w:color="auto" w:fill="FFFFFF"/>
        </w:rPr>
        <w:t>万元，机关运行经费主要用于开支办公费、印刷费、咨询费、水费、电费、邮电费、差旅费、维修（护）费、公务接待费、劳务费、工会经费、其他交通费、其他商品和服务费等。机关运行经费较上年支出数减少26.55万元，下降19.2%，主要原因是2024年财政资金紧张，缩减了机关经费支出。</w:t>
      </w:r>
      <w:r>
        <w:rPr>
          <w:rFonts w:hint="default" w:ascii="Times New Roman" w:hAnsi="Times New Roman" w:eastAsia="方正仿宋_GBK" w:cs="Times New Roman"/>
          <w:sz w:val="32"/>
          <w:szCs w:val="32"/>
        </w:rPr>
        <w:t xml:space="preserve"> </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2024年度本部门政府采购支出总额</w:t>
      </w:r>
      <w:r>
        <w:rPr>
          <w:rFonts w:hint="default" w:ascii="Times New Roman" w:hAnsi="Times New Roman" w:eastAsia="方正仿宋_GBK" w:cs="Times New Roman"/>
          <w:sz w:val="32"/>
          <w:szCs w:val="32"/>
        </w:rPr>
        <w:t>3.24</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3.24</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3.24万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3.24</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%。主要用于采购办公电脑、桌椅、打印机。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Style w:val="8"/>
          <w:rFonts w:hint="default" w:ascii="Times New Roman" w:hAnsi="Times New Roman" w:eastAsia="方正黑体_GBK" w:cs="Times New Roman"/>
          <w:b w:val="0"/>
          <w:sz w:val="32"/>
          <w:szCs w:val="32"/>
          <w:shd w:val="clear" w:color="auto" w:fill="FFFFFF"/>
        </w:rPr>
      </w:pPr>
      <w:r>
        <w:rPr>
          <w:rStyle w:val="8"/>
          <w:rFonts w:hint="default" w:ascii="Times New Roman" w:hAnsi="Times New Roman" w:eastAsia="方正黑体_GBK" w:cs="Times New Roman"/>
          <w:b w:val="0"/>
          <w:sz w:val="32"/>
          <w:szCs w:val="32"/>
          <w:shd w:val="clear" w:color="auto" w:fill="FFFFFF"/>
        </w:rPr>
        <w:t>五、2024年度预算绩效管理情况说明</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leftChars="0" w:firstLine="640" w:firstLineChars="200"/>
        <w:textAlignment w:val="auto"/>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（一）预算绩效管理工作开展情况</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根据预算绩效管理要求，我部门对部门整体和33个(所有二级预算单位的项目个数之和)项目开展了绩效自评，其中，以填报自评表形式开展自评33项，涉及资金</w:t>
      </w:r>
      <w:r>
        <w:rPr>
          <w:rFonts w:hint="default" w:ascii="Times New Roman" w:hAnsi="Times New Roman" w:eastAsia="方正仿宋_GBK" w:cs="Times New Roman"/>
          <w:sz w:val="32"/>
          <w:szCs w:val="32"/>
        </w:rPr>
        <w:t>1958.78</w:t>
      </w:r>
      <w:r>
        <w:rPr>
          <w:rFonts w:hint="default" w:ascii="Times New Roman" w:hAnsi="Times New Roman" w:eastAsia="方正仿宋_GBK" w:cs="Times New Roman"/>
          <w:sz w:val="32"/>
          <w:szCs w:val="32"/>
          <w:shd w:val="clear" w:color="auto" w:fill="FFFFFF"/>
        </w:rPr>
        <w:t>万元；以委托第三方出具报告的方式（如有）开展绩效评价0项，涉及资金0万元。</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leftChars="0" w:firstLine="640" w:firstLineChars="200"/>
        <w:textAlignment w:val="auto"/>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（二）绩效自评结果</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1.绩效目标自评表。</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（1）部门整体绩效自评表。</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详见附件。</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（2）项目绩效自评表。</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详见各二级预算单位决算公开报告。</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2.绩效自评报告或案例。</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详见各二级预算单位决算公开报告。</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3.关于绩效自评结果的说明。</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我部门对33个(所有二级预算单位的项目个数之和)项目进行绩效自评，其中33个已完成年度绩效目标，0个未完成年度绩效目标。</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楷体_GBK" w:cs="Times New Roman"/>
          <w:bCs/>
          <w:sz w:val="32"/>
          <w:szCs w:val="32"/>
          <w:shd w:val="clear" w:color="auto" w:fill="FFFFFF"/>
          <w:lang w:bidi="ar"/>
        </w:rPr>
      </w:pPr>
      <w:r>
        <w:rPr>
          <w:rFonts w:hint="default" w:ascii="Times New Roman" w:hAnsi="Times New Roman" w:eastAsia="方正楷体_GBK" w:cs="Times New Roman"/>
          <w:bCs/>
          <w:sz w:val="32"/>
          <w:szCs w:val="32"/>
          <w:shd w:val="clear" w:color="auto" w:fill="FFFFFF"/>
          <w:lang w:bidi="ar"/>
        </w:rPr>
        <w:t>（三）财政重点绩效评价情况</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我单位无财政重点绩效评价项目。</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黑体_GBK" w:cs="Times New Roman"/>
          <w:sz w:val="32"/>
          <w:szCs w:val="32"/>
        </w:rPr>
      </w:pPr>
      <w:r>
        <w:rPr>
          <w:rStyle w:val="8"/>
          <w:rFonts w:hint="default" w:ascii="Times New Roman" w:hAnsi="Times New Roman" w:eastAsia="方正黑体_GBK" w:cs="Times New Roman"/>
          <w:b w:val="0"/>
          <w:sz w:val="32"/>
          <w:szCs w:val="32"/>
          <w:shd w:val="clear" w:color="auto" w:fill="FFFFFF"/>
        </w:rPr>
        <w:t>六、专业名词解释</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hint="default" w:ascii="Times New Roman" w:hAnsi="Times New Roman" w:eastAsia="方正黑体_GBK" w:cs="Times New Roman"/>
          <w:sz w:val="32"/>
          <w:szCs w:val="32"/>
        </w:rPr>
      </w:pPr>
      <w:r>
        <w:rPr>
          <w:rStyle w:val="8"/>
          <w:rFonts w:hint="default" w:ascii="Times New Roman" w:hAnsi="Times New Roman" w:eastAsia="方正黑体_GBK" w:cs="Times New Roman"/>
          <w:b w:val="0"/>
          <w:sz w:val="32"/>
          <w:szCs w:val="32"/>
          <w:shd w:val="clear" w:color="auto" w:fill="FFFFFF"/>
        </w:rPr>
        <w:t>七、决算公开联系方式及信息反馈渠道</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联系人：黄山花  联系方式：023-45360309</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jc w:val="both"/>
        <w:textAlignment w:val="auto"/>
        <w:rPr>
          <w:rFonts w:hint="default" w:ascii="Times New Roman" w:hAnsi="Times New Roman" w:eastAsia="方正仿宋_GBK" w:cs="Times New Roman"/>
          <w:sz w:val="32"/>
          <w:szCs w:val="32"/>
        </w:rPr>
      </w:pPr>
    </w:p>
    <w:sectPr>
      <w:headerReference r:id="rId3" w:type="default"/>
      <w:footerReference r:id="rId4" w:type="default"/>
      <w:pgSz w:w="11850" w:h="16783"/>
      <w:pgMar w:top="2098" w:right="1474" w:bottom="1985" w:left="1588" w:header="0" w:footer="28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01C60"/>
    <w:rsid w:val="000D7BCC"/>
    <w:rsid w:val="00114A18"/>
    <w:rsid w:val="00142CE5"/>
    <w:rsid w:val="00217C77"/>
    <w:rsid w:val="00550ABE"/>
    <w:rsid w:val="00621166"/>
    <w:rsid w:val="00781E78"/>
    <w:rsid w:val="007B419D"/>
    <w:rsid w:val="00832FC2"/>
    <w:rsid w:val="008D035C"/>
    <w:rsid w:val="009B67B8"/>
    <w:rsid w:val="00B03CCD"/>
    <w:rsid w:val="00B213EE"/>
    <w:rsid w:val="00B3010F"/>
    <w:rsid w:val="00B36465"/>
    <w:rsid w:val="00B774E1"/>
    <w:rsid w:val="00CE5767"/>
    <w:rsid w:val="00D879F2"/>
    <w:rsid w:val="00E04A1B"/>
    <w:rsid w:val="00E87FA9"/>
    <w:rsid w:val="00F1582B"/>
    <w:rsid w:val="00F604AD"/>
    <w:rsid w:val="00FF3A15"/>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BC027C5"/>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784E58"/>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C1135"/>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9B0C57"/>
    <w:rsid w:val="4EA8523F"/>
    <w:rsid w:val="4F186D58"/>
    <w:rsid w:val="4F224836"/>
    <w:rsid w:val="51760217"/>
    <w:rsid w:val="51E36677"/>
    <w:rsid w:val="51F01F7D"/>
    <w:rsid w:val="522F6E0C"/>
    <w:rsid w:val="52463BA1"/>
    <w:rsid w:val="529F078E"/>
    <w:rsid w:val="53C0244D"/>
    <w:rsid w:val="53DD4D4E"/>
    <w:rsid w:val="53E578CE"/>
    <w:rsid w:val="53EA10F5"/>
    <w:rsid w:val="541768A0"/>
    <w:rsid w:val="543B029D"/>
    <w:rsid w:val="54977029"/>
    <w:rsid w:val="554E5773"/>
    <w:rsid w:val="555A3CBC"/>
    <w:rsid w:val="55EF4EA6"/>
    <w:rsid w:val="56530F5D"/>
    <w:rsid w:val="56EE372E"/>
    <w:rsid w:val="56F741A2"/>
    <w:rsid w:val="5842572D"/>
    <w:rsid w:val="598A28E2"/>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3F3B65"/>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EB3290"/>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1049</Words>
  <Characters>5982</Characters>
  <Lines>49</Lines>
  <Paragraphs>14</Paragraphs>
  <TotalTime>76</TotalTime>
  <ScaleCrop>false</ScaleCrop>
  <LinksUpToDate>false</LinksUpToDate>
  <CharactersWithSpaces>7017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tlww</cp:lastModifiedBy>
  <dcterms:modified xsi:type="dcterms:W3CDTF">2025-10-28T15:44:25Z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BB46EABDBB2749749395447164B066B3_12</vt:lpwstr>
  </property>
</Properties>
</file>