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jc w:val="center"/>
        <w:rPr>
          <w:rFonts w:hint="default" w:ascii="Times New Roman" w:hAnsi="Times New Roman" w:eastAsia="方正小标宋_GBK" w:cs="Times New Roman"/>
          <w:sz w:val="44"/>
          <w:szCs w:val="44"/>
          <w:shd w:val="clear" w:color="auto" w:fill="FFFFFF"/>
        </w:rPr>
      </w:pPr>
      <w:r>
        <w:rPr>
          <w:rFonts w:hint="eastAsia" w:ascii="方正小标宋_GBK" w:hAnsi="方正小标宋_GBK" w:eastAsia="方正小标宋_GBK" w:cs="方正小标宋_GBK"/>
          <w:sz w:val="44"/>
          <w:szCs w:val="44"/>
        </w:rPr>
        <w:t>重庆市铜梁区围龙镇劳动就业和社会保障服务所</w:t>
      </w:r>
      <w:r>
        <w:rPr>
          <w:rFonts w:hint="eastAsia" w:ascii="方正小标宋_GBK" w:hAnsi="方正小标宋_GBK" w:eastAsia="方正小标宋_GBK" w:cs="方正小标宋_GBK"/>
          <w:sz w:val="44"/>
          <w:szCs w:val="44"/>
          <w:shd w:val="clear" w:color="auto" w:fill="FFFFFF"/>
        </w:rPr>
        <w:t>2024年度决算公开说明</w:t>
      </w:r>
    </w:p>
    <w:p>
      <w:pPr>
        <w:pStyle w:val="4"/>
        <w:keepNext w:val="0"/>
        <w:keepLines w:val="0"/>
        <w:pageBreakBefore w:val="0"/>
        <w:widowControl/>
        <w:kinsoku/>
        <w:wordWrap/>
        <w:overflowPunct/>
        <w:topLinePunct w:val="0"/>
        <w:autoSpaceDN/>
        <w:bidi w:val="0"/>
        <w:adjustRightInd/>
        <w:spacing w:line="560" w:lineRule="exact"/>
        <w:ind w:firstLine="880" w:firstLineChars="200"/>
        <w:jc w:val="center"/>
        <w:textAlignment w:val="auto"/>
        <w:rPr>
          <w:rFonts w:hint="default" w:ascii="Times New Roman" w:hAnsi="Times New Roman" w:eastAsia="方正小标宋_GBK" w:cs="Times New Roman"/>
          <w:sz w:val="44"/>
          <w:szCs w:val="44"/>
        </w:rPr>
      </w:pPr>
    </w:p>
    <w:p>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一、单位基本情况</w:t>
      </w:r>
      <w:bookmarkStart w:id="0" w:name="_GoBack"/>
      <w:bookmarkEnd w:id="0"/>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z w:val="32"/>
          <w:szCs w:val="32"/>
        </w:rPr>
      </w:pPr>
      <w:r>
        <w:rPr>
          <w:rStyle w:val="8"/>
          <w:rFonts w:hint="default" w:ascii="Times New Roman" w:hAnsi="Times New Roman" w:eastAsia="方正楷体_GBK" w:cs="Times New Roman"/>
          <w:b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主要承担就业、再就业促进工作，社会保障和劳动维权等服务性工作，承担民政、教育、卫生健康、老龄、社会救助、残疾人事业、社会福利和公益事业、医疗保障等服务性工作。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Style w:val="8"/>
          <w:rFonts w:hint="default" w:ascii="Times New Roman" w:hAnsi="Times New Roman" w:eastAsia="方正楷体_GBK" w:cs="Times New Roman"/>
          <w:shd w:val="clear" w:color="auto" w:fill="FFFFFF"/>
        </w:rPr>
      </w:pPr>
      <w:r>
        <w:rPr>
          <w:rStyle w:val="8"/>
          <w:rFonts w:hint="default" w:ascii="Times New Roman" w:hAnsi="Times New Roman" w:eastAsia="方正楷体_GBK" w:cs="Times New Roman"/>
          <w:b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000000"/>
          <w:sz w:val="32"/>
          <w:szCs w:val="32"/>
        </w:rPr>
        <w:t>根据编制情况，我单位机构设置办公室</w:t>
      </w:r>
      <w:r>
        <w:rPr>
          <w:rFonts w:hint="default" w:ascii="Times New Roman" w:hAnsi="Times New Roman" w:eastAsia="方正仿宋_GBK" w:cs="Times New Roman"/>
          <w:sz w:val="32"/>
          <w:szCs w:val="32"/>
        </w:rPr>
        <w:t>主任1名、副主任1名，下设社会保障岗、劳动就业岗</w:t>
      </w:r>
      <w:r>
        <w:rPr>
          <w:rFonts w:hint="default" w:ascii="Times New Roman" w:hAnsi="Times New Roman" w:eastAsia="方正仿宋_GBK" w:cs="Times New Roman"/>
          <w:color w:val="000000"/>
          <w:sz w:val="32"/>
          <w:szCs w:val="32"/>
        </w:rPr>
        <w:t>。</w:t>
      </w:r>
    </w:p>
    <w:p>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2024年度收入总计96.53万元，支出总计</w:t>
      </w:r>
      <w:r>
        <w:rPr>
          <w:rFonts w:hint="default" w:ascii="Times New Roman" w:hAnsi="Times New Roman" w:eastAsia="方正仿宋_GBK" w:cs="Times New Roman"/>
          <w:sz w:val="32"/>
          <w:szCs w:val="32"/>
        </w:rPr>
        <w:t>96.53</w:t>
      </w:r>
      <w:r>
        <w:rPr>
          <w:rFonts w:hint="default" w:ascii="Times New Roman" w:hAnsi="Times New Roman" w:eastAsia="方正仿宋_GBK" w:cs="Times New Roman"/>
          <w:sz w:val="32"/>
          <w:szCs w:val="32"/>
          <w:shd w:val="clear" w:color="auto" w:fill="FFFFFF"/>
        </w:rPr>
        <w:t>万元。收、支与2023年度相比，增加96.53万元，增长100.0%，主要原因是2024年依据财政局要求我单位将事业单位划分为重庆市铜梁区围龙镇劳动就业和社会保障服务所等七个独立核算账套，上年度未单独核算，本年单独核算，所以本年收、支增长为100</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96.53万元，与2023年度相比，增加96.53万元，增长100.0%，主要原因是2024年依据财政局要求我单位将事业单位划分为重庆市铜梁区围龙镇劳动就业和社会保障服务所等七个独立核算账套，上年度未单独核算，本年单独核算，所以本年收入增长为100</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96.53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96.53</w:t>
      </w:r>
      <w:r>
        <w:rPr>
          <w:rFonts w:hint="default" w:ascii="Times New Roman" w:hAnsi="Times New Roman" w:eastAsia="方正仿宋_GBK" w:cs="Times New Roman"/>
          <w:sz w:val="32"/>
          <w:szCs w:val="32"/>
          <w:shd w:val="clear" w:color="auto" w:fill="FFFFFF"/>
        </w:rPr>
        <w:t>万元，与2023年度相比，增加96.53万元，增长100.0%，主要原因是2024年依据财政局要求我单位将事业单位划分为重庆市铜梁区围龙镇劳动就业和社会保障服务所等七个独立核算账套，上年度未单独核算，本年单独核算，所以本年支出增长为100</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94.85</w:t>
      </w:r>
      <w:r>
        <w:rPr>
          <w:rFonts w:hint="default" w:ascii="Times New Roman" w:hAnsi="Times New Roman" w:eastAsia="方正仿宋_GBK" w:cs="Times New Roman"/>
          <w:sz w:val="32"/>
          <w:szCs w:val="32"/>
          <w:shd w:val="clear" w:color="auto" w:fill="FFFFFF"/>
        </w:rPr>
        <w:t>万元，占98.26%；项目支出</w:t>
      </w:r>
      <w:r>
        <w:rPr>
          <w:rFonts w:hint="default" w:ascii="Times New Roman" w:hAnsi="Times New Roman" w:eastAsia="方正仿宋_GBK" w:cs="Times New Roman"/>
          <w:sz w:val="32"/>
          <w:szCs w:val="32"/>
        </w:rPr>
        <w:t>1.68</w:t>
      </w:r>
      <w:r>
        <w:rPr>
          <w:rFonts w:hint="default" w:ascii="Times New Roman" w:hAnsi="Times New Roman" w:eastAsia="方正仿宋_GBK" w:cs="Times New Roman"/>
          <w:sz w:val="32"/>
          <w:szCs w:val="32"/>
          <w:shd w:val="clear" w:color="auto" w:fill="FFFFFF"/>
        </w:rPr>
        <w:t>万元，占1.74%；经营支出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4.结转结余情况。本单位</w:t>
      </w:r>
      <w:r>
        <w:rPr>
          <w:rFonts w:hint="default" w:ascii="Times New Roman" w:hAnsi="Times New Roman" w:eastAsia="方正仿宋_GBK" w:cs="Times New Roman"/>
          <w:sz w:val="32"/>
          <w:szCs w:val="32"/>
          <w:shd w:val="clear" w:color="auto" w:fill="FFFFFF"/>
        </w:rPr>
        <w:t>2024年度无年末结转和结余。</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96.53万元。与2023年相比，财政拨款收、支总计各增加96.53万元，增长100.0%。主要原因是2024年依据财政局要求我单位将事业单位划分为重庆市铜梁区围龙镇劳动就业和社会保障服务所等七个独立核算账套，上年度未单独核算，本年单独核算，所以本年财政拨款收、支增长为100</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96.53</w:t>
      </w:r>
      <w:r>
        <w:rPr>
          <w:rFonts w:hint="default" w:ascii="Times New Roman" w:hAnsi="Times New Roman" w:eastAsia="方正仿宋_GBK" w:cs="Times New Roman"/>
          <w:sz w:val="32"/>
          <w:szCs w:val="32"/>
          <w:shd w:val="clear" w:color="auto" w:fill="FFFFFF"/>
        </w:rPr>
        <w:t>万元，与2023年度相比，增加96.53万元，增长100.0%。主要原因是2024年依据财政局要求我单位将事业单位划分为重庆市铜梁区围龙镇劳动就业和社会保障服务所等七个独立核算账套，上年度未单独核算，本年单独核算，所以一般公共预算财政拨款收入增长为100</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%。较年初预算数减少0.35万元，下降0.4%。主要原因是2024年财政资金紧张，减少公用经费支出。此外，年初财政拨款结转和结余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96.53</w:t>
      </w:r>
      <w:r>
        <w:rPr>
          <w:rFonts w:hint="default" w:ascii="Times New Roman" w:hAnsi="Times New Roman" w:eastAsia="方正仿宋_GBK" w:cs="Times New Roman"/>
          <w:sz w:val="32"/>
          <w:szCs w:val="32"/>
          <w:shd w:val="clear" w:color="auto" w:fill="FFFFFF"/>
        </w:rPr>
        <w:t>万元，与2023年度相比，增加96.53万元，增长100.0%。主要原因是2024年依据财政局要求我单位将事业单位划分为重庆市铜梁区围龙镇劳动就业和社会保障服务所等七个独立核算账套，上年度未单独核算，本年单独核算，所以一般公共预算财政拨款支出增长为100</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%。较年初预算数减少0.35万元，下降0.4%。主要原因是2024年财政资金紧张，减少公用经费支出。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3.结转结余情况。本单位</w:t>
      </w:r>
      <w:r>
        <w:rPr>
          <w:rFonts w:hint="default" w:ascii="Times New Roman" w:hAnsi="Times New Roman" w:eastAsia="方正仿宋_GBK" w:cs="Times New Roman"/>
          <w:sz w:val="32"/>
          <w:szCs w:val="32"/>
          <w:shd w:val="clear" w:color="auto" w:fill="FFFFFF"/>
        </w:rPr>
        <w:t>2024年度年末无一般公共预算财政拨款结转和结余</w:t>
      </w:r>
      <w:r>
        <w:rPr>
          <w:rFonts w:hint="default" w:ascii="Times New Roman" w:hAnsi="Times New Roman" w:eastAsia="方正仿宋_GBK" w:cs="Times New Roman"/>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b w:val="0"/>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（1）社会保障与就业支出88.75万元，占91.93%，较年初预算数增加0.01万元，增长0.0%，主要原因是调整在职人员社会保险。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（2）卫生健康支出4.13万元，占4.28%，较年初预算数减少0.10万元，下降2.4%，主要原因是调整在职人员医疗保险。</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（3）住房保障支出3.66万元，占3.79%，较年初预算数减少0.25万元，下降6.4%，主要原因是调整在职人员住房公积金。</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94.85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83.09</w:t>
      </w:r>
      <w:r>
        <w:rPr>
          <w:rFonts w:hint="default" w:ascii="Times New Roman" w:hAnsi="Times New Roman" w:eastAsia="方正仿宋_GBK" w:cs="Times New Roman"/>
          <w:sz w:val="32"/>
          <w:szCs w:val="32"/>
          <w:shd w:val="clear" w:color="auto" w:fill="FFFFFF"/>
        </w:rPr>
        <w:t>万元，与2023年度相比，增加83.09万元，增长100.0%，主要原因是2024年依据财政局要求我单位将事业单位划分为重庆市铜梁区围龙镇劳动就业和社会保障服务所等七个独立核算账套，上年度未单独核算，本年单独核算，所以人员经费增长为100</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%。人员经费用途主要包括基本工资、津贴补贴、奖金、社会保障缴费、绩效奖励、退休干部健康休养费等。公用经费</w:t>
      </w:r>
      <w:r>
        <w:rPr>
          <w:rFonts w:hint="default" w:ascii="Times New Roman" w:hAnsi="Times New Roman" w:eastAsia="方正仿宋_GBK" w:cs="Times New Roman"/>
          <w:sz w:val="32"/>
          <w:szCs w:val="32"/>
        </w:rPr>
        <w:t>11.76</w:t>
      </w:r>
      <w:r>
        <w:rPr>
          <w:rFonts w:hint="default" w:ascii="Times New Roman" w:hAnsi="Times New Roman" w:eastAsia="方正仿宋_GBK" w:cs="Times New Roman"/>
          <w:sz w:val="32"/>
          <w:szCs w:val="32"/>
          <w:shd w:val="clear" w:color="auto" w:fill="FFFFFF"/>
        </w:rPr>
        <w:t>万元，与2023年度相比，增加11.76万元，增长100.0%，主要原因是2024年依据财政局要求我单位将事业单位划分为重庆市铜梁区围龙镇劳动就业和社会保障服务所等七个独立核算账套，上年度未单独核算，本年单独核算，所以公用经费增长为100</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%。公用经费用途主要包括办公费、印刷费、咨询费、水费、电费、邮电费、差旅费、维修（护）费、劳务费、工会经费、其他交通费等。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0.29</w:t>
      </w:r>
      <w:r>
        <w:rPr>
          <w:rFonts w:hint="default" w:ascii="Times New Roman" w:hAnsi="Times New Roman" w:eastAsia="方正仿宋_GBK" w:cs="Times New Roman"/>
          <w:sz w:val="32"/>
          <w:szCs w:val="32"/>
          <w:shd w:val="clear" w:color="auto" w:fill="FFFFFF"/>
        </w:rPr>
        <w:t>万元，与2023年度相比，增加0.29万元，增长100.0%，主要原因是2024年依据财政局要求我单位将事业单位划分为重庆市铜梁区围龙镇劳动就业和社会保障服务所等七个独立核算账套，上年度未单独核算，本年单独核算，所以培训费增长为100</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sz w:val="32"/>
          <w:szCs w:val="32"/>
          <w:shd w:val="clear" w:color="auto" w:fill="FFFFFF"/>
        </w:rPr>
      </w:pPr>
      <w:r>
        <w:rPr>
          <w:rStyle w:val="8"/>
          <w:rFonts w:hint="default" w:ascii="Times New Roman" w:hAnsi="Times New Roman" w:eastAsia="方正黑体_GBK" w:cs="Times New Roman"/>
          <w:b w:val="0"/>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根据预算绩效管理要求，我单位对1个项目开展了绩效自评，其中，以填报自评表形式开展自评1项，涉及资金1.68万元；以委托第三方出具报告的方式（如有）开展绩效评价0项，涉及资金0万元。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详见附件。</w:t>
      </w:r>
    </w:p>
    <w:p>
      <w:pPr>
        <w:pStyle w:val="12"/>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我单位对1项目进行绩效自评，其中1个已完成年度绩效目标，0个未完成年度绩效目标。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Cs/>
          <w:sz w:val="32"/>
          <w:szCs w:val="32"/>
          <w:shd w:val="clear" w:color="auto" w:fill="FFFFFF"/>
          <w:lang w:bidi="ar"/>
        </w:rPr>
      </w:pPr>
      <w:r>
        <w:rPr>
          <w:rFonts w:hint="default" w:ascii="Times New Roman" w:hAnsi="Times New Roman" w:eastAsia="方正楷体_GBK" w:cs="Times New Roman"/>
          <w:bCs/>
          <w:sz w:val="32"/>
          <w:szCs w:val="32"/>
          <w:shd w:val="clear" w:color="auto" w:fill="FFFFFF"/>
          <w:lang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Cs/>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黑体_GBK" w:cs="Times New Roman"/>
          <w:sz w:val="32"/>
          <w:szCs w:val="32"/>
        </w:rPr>
      </w:pPr>
      <w:r>
        <w:rPr>
          <w:rStyle w:val="8"/>
          <w:rFonts w:hint="default" w:ascii="Times New Roman" w:hAnsi="Times New Roman" w:eastAsia="方正黑体_GBK" w:cs="Times New Roman"/>
          <w:b w:val="0"/>
          <w:sz w:val="32"/>
          <w:szCs w:val="32"/>
          <w:shd w:val="clear" w:color="auto" w:fill="FFFFFF"/>
        </w:rPr>
        <w:t>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黑体_GBK" w:cs="Times New Roman"/>
          <w:sz w:val="32"/>
          <w:szCs w:val="32"/>
        </w:rPr>
      </w:pPr>
      <w:r>
        <w:rPr>
          <w:rStyle w:val="8"/>
          <w:rFonts w:hint="default" w:ascii="Times New Roman" w:hAnsi="Times New Roman" w:eastAsia="方正黑体_GBK" w:cs="Times New Roman"/>
          <w:b w:val="0"/>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联系人：黄山花 联系方式：023-45360309</w:t>
      </w:r>
    </w:p>
    <w:p>
      <w:pPr>
        <w:pStyle w:val="9"/>
        <w:keepNext w:val="0"/>
        <w:keepLines w:val="0"/>
        <w:pageBreakBefore w:val="0"/>
        <w:widowControl/>
        <w:kinsoku/>
        <w:wordWrap/>
        <w:overflowPunct/>
        <w:topLinePunct w:val="0"/>
        <w:autoSpaceDE w:val="0"/>
        <w:autoSpaceDN/>
        <w:bidi w:val="0"/>
        <w:adjustRightInd/>
        <w:spacing w:line="560" w:lineRule="exact"/>
        <w:ind w:firstLine="640"/>
        <w:jc w:val="both"/>
        <w:textAlignment w:val="auto"/>
        <w:rPr>
          <w:rStyle w:val="11"/>
          <w:rFonts w:hint="default" w:ascii="Times New Roman" w:hAnsi="Times New Roman" w:eastAsia="方正仿宋_GBK" w:cs="Times New Roman"/>
          <w:b w:val="0"/>
          <w:sz w:val="32"/>
          <w:szCs w:val="32"/>
          <w:shd w:val="clear" w:color="auto" w:fill="FFFF00"/>
        </w:rPr>
      </w:pPr>
    </w:p>
    <w:sectPr>
      <w:headerReference r:id="rId3" w:type="default"/>
      <w:footerReference r:id="rId4" w:type="default"/>
      <w:pgSz w:w="11850" w:h="16783"/>
      <w:pgMar w:top="2098" w:right="1474" w:bottom="1985" w:left="1588" w:header="0"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93CFF"/>
    <w:rsid w:val="000A58EC"/>
    <w:rsid w:val="000B364D"/>
    <w:rsid w:val="000D4816"/>
    <w:rsid w:val="000F685A"/>
    <w:rsid w:val="001F5B11"/>
    <w:rsid w:val="0034014C"/>
    <w:rsid w:val="00375193"/>
    <w:rsid w:val="003F4F2E"/>
    <w:rsid w:val="004C4E58"/>
    <w:rsid w:val="0051575F"/>
    <w:rsid w:val="00550ABE"/>
    <w:rsid w:val="006152FC"/>
    <w:rsid w:val="007936E4"/>
    <w:rsid w:val="00794C8F"/>
    <w:rsid w:val="007B419D"/>
    <w:rsid w:val="00803FD4"/>
    <w:rsid w:val="009A5A26"/>
    <w:rsid w:val="009B67B8"/>
    <w:rsid w:val="00A35865"/>
    <w:rsid w:val="00AD22BA"/>
    <w:rsid w:val="00B03CCD"/>
    <w:rsid w:val="00D42896"/>
    <w:rsid w:val="00DC1BA1"/>
    <w:rsid w:val="00DC4B51"/>
    <w:rsid w:val="00E47692"/>
    <w:rsid w:val="00E70AAB"/>
    <w:rsid w:val="00EE091C"/>
    <w:rsid w:val="00F3346E"/>
    <w:rsid w:val="00F667CB"/>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4B4DB3"/>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738</Words>
  <Characters>4208</Characters>
  <Lines>35</Lines>
  <Paragraphs>9</Paragraphs>
  <TotalTime>90</TotalTime>
  <ScaleCrop>false</ScaleCrop>
  <LinksUpToDate>false</LinksUpToDate>
  <CharactersWithSpaces>4937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tlww</cp:lastModifiedBy>
  <dcterms:modified xsi:type="dcterms:W3CDTF">2025-10-28T16:13:15Z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9EDAFD8FD9424A54844071572B3E9A06_13</vt:lpwstr>
  </property>
</Properties>
</file>