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Times New Roman" w:eastAsia="方正小标宋_GBK"/>
          <w:sz w:val="44"/>
          <w:szCs w:val="44"/>
        </w:rPr>
      </w:pPr>
      <w:r>
        <w:rPr>
          <w:rFonts w:ascii="方正小标宋_GBK" w:hAnsi="Times New Roman" w:eastAsia="方正小标宋_GBK"/>
          <w:sz w:val="44"/>
          <w:szCs w:val="44"/>
        </w:rPr>
        <w:t>重庆市铜梁区围龙镇乡村生态治理中心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Times New Roman" w:eastAsia="方正小标宋_GBK"/>
          <w:sz w:val="44"/>
          <w:szCs w:val="44"/>
          <w:shd w:val="clear" w:color="auto" w:fill="FFFFFF"/>
        </w:rPr>
      </w:pPr>
      <w:r>
        <w:rPr>
          <w:rFonts w:ascii="方正小标宋_GBK" w:hAnsi="Times New Roman" w:eastAsia="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579" w:firstLineChars="181"/>
        <w:textAlignment w:val="auto"/>
        <w:rPr>
          <w:rFonts w:hint="default" w:ascii="Times New Roman" w:hAnsi="Times New Roman" w:eastAsia="方正仿宋_GBK"/>
          <w:color w:val="000000"/>
          <w:sz w:val="32"/>
          <w:szCs w:val="32"/>
        </w:rPr>
      </w:pPr>
      <w:r>
        <w:rPr>
          <w:rFonts w:hint="default" w:ascii="Times New Roman" w:hAnsi="Times New Roman" w:eastAsia="方正仿宋_GBK"/>
          <w:color w:val="000000"/>
          <w:sz w:val="32"/>
          <w:szCs w:val="32"/>
        </w:rPr>
        <w:t>主要承担市政公用、市容环卫、生态环境、物业管理、村容村貌提升等事务性工作；完成主管部门交办的其他任务。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color w:val="000000"/>
          <w:sz w:val="32"/>
          <w:szCs w:val="32"/>
        </w:rPr>
        <w:t>根据编制情况，我单位机构设置办公室主任</w:t>
      </w:r>
      <w:r>
        <w:rPr>
          <w:rFonts w:hint="default" w:ascii="Times New Roman" w:hAnsi="Times New Roman" w:eastAsia="方正仿宋_GBK"/>
          <w:sz w:val="32"/>
          <w:szCs w:val="32"/>
        </w:rPr>
        <w:t>1名、副主任1名，下设生态环境岗</w:t>
      </w:r>
      <w:r>
        <w:rPr>
          <w:rFonts w:hint="default" w:ascii="Times New Roman" w:hAnsi="Times New Roman" w:eastAsia="方正仿宋_GBK"/>
          <w:color w:val="000000"/>
          <w:sz w:val="32"/>
          <w:szCs w:val="32"/>
        </w:rPr>
        <w:t>。</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1.总体情况。</w:t>
      </w:r>
      <w:r>
        <w:rPr>
          <w:rFonts w:hint="default" w:ascii="Times New Roman" w:hAnsi="Times New Roman" w:eastAsia="方正仿宋_GBK"/>
          <w:sz w:val="32"/>
          <w:szCs w:val="32"/>
          <w:shd w:val="clear" w:color="auto" w:fill="FFFFFF"/>
        </w:rPr>
        <w:t>2024年度收入总计115.55万元，支出总计</w:t>
      </w:r>
      <w:r>
        <w:rPr>
          <w:rFonts w:hint="default" w:ascii="Times New Roman" w:hAnsi="Times New Roman" w:eastAsia="方正仿宋_GBK"/>
          <w:sz w:val="32"/>
          <w:szCs w:val="32"/>
        </w:rPr>
        <w:t>115.55</w:t>
      </w:r>
      <w:r>
        <w:rPr>
          <w:rFonts w:hint="default" w:ascii="Times New Roman" w:hAnsi="Times New Roman" w:eastAsia="方正仿宋_GBK"/>
          <w:sz w:val="32"/>
          <w:szCs w:val="32"/>
          <w:shd w:val="clear" w:color="auto" w:fill="FFFFFF"/>
        </w:rPr>
        <w:t>万元。收、支与2023年度相比，增加115.55万元，增长100.0%，主要原因是2024年依据财政局要求我单位将事业单位划分为重庆市铜梁区围龙镇乡村生态治理中心等七个独立核算账套，上年度未单独核算，本年单独核算，所以本年收、支增长为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2024年度收入合计115.55万元，与2023年度相比，增加115.55万元，增长100.0%，主要原因是2024年依据财政局要求我单位将事业单位划分为重庆市铜梁区围龙镇乡村生态治理中心等七个独立核算账套，上年度未单独核算，本年单独核算，所以本年收入增长为100.0%。其中：财政拨款收入</w:t>
      </w:r>
      <w:r>
        <w:rPr>
          <w:rFonts w:hint="default" w:ascii="Times New Roman" w:hAnsi="Times New Roman" w:eastAsia="方正仿宋_GBK"/>
          <w:sz w:val="32"/>
          <w:szCs w:val="32"/>
        </w:rPr>
        <w:t>115.55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115.55</w:t>
      </w:r>
      <w:r>
        <w:rPr>
          <w:rFonts w:hint="default" w:ascii="Times New Roman" w:hAnsi="Times New Roman" w:eastAsia="方正仿宋_GBK"/>
          <w:sz w:val="32"/>
          <w:szCs w:val="32"/>
          <w:shd w:val="clear" w:color="auto" w:fill="FFFFFF"/>
        </w:rPr>
        <w:t>万元，与2023年度相比，增加115.55万元，增长100.0%，主要原因是2024年依据财政局要求我单位将事业单位划分为重庆市铜梁区围龙镇乡村生态治理中心等七个独立核算账套，上年度未单独核算，本年单独核算，所以本年支出增长为100.0%。其中：基本支出</w:t>
      </w:r>
      <w:r>
        <w:rPr>
          <w:rFonts w:hint="default" w:ascii="Times New Roman" w:hAnsi="Times New Roman" w:eastAsia="方正仿宋_GBK"/>
          <w:sz w:val="32"/>
          <w:szCs w:val="32"/>
        </w:rPr>
        <w:t>69.48</w:t>
      </w:r>
      <w:r>
        <w:rPr>
          <w:rFonts w:hint="default" w:ascii="Times New Roman" w:hAnsi="Times New Roman" w:eastAsia="方正仿宋_GBK"/>
          <w:sz w:val="32"/>
          <w:szCs w:val="32"/>
          <w:shd w:val="clear" w:color="auto" w:fill="FFFFFF"/>
        </w:rPr>
        <w:t>万元，占60.13%；项目支出</w:t>
      </w:r>
      <w:r>
        <w:rPr>
          <w:rFonts w:hint="default" w:ascii="Times New Roman" w:hAnsi="Times New Roman" w:eastAsia="方正仿宋_GBK"/>
          <w:sz w:val="32"/>
          <w:szCs w:val="32"/>
        </w:rPr>
        <w:t>46.07</w:t>
      </w:r>
      <w:r>
        <w:rPr>
          <w:rFonts w:hint="default" w:ascii="Times New Roman" w:hAnsi="Times New Roman" w:eastAsia="方正仿宋_GBK"/>
          <w:sz w:val="32"/>
          <w:szCs w:val="32"/>
          <w:shd w:val="clear" w:color="auto" w:fill="FFFFFF"/>
        </w:rPr>
        <w:t>万元，占39.87%；经营支出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4.结转结余情况。本单位</w:t>
      </w:r>
      <w:r>
        <w:rPr>
          <w:rFonts w:hint="default" w:ascii="Times New Roman" w:hAnsi="Times New Roman" w:eastAsia="方正仿宋_GBK"/>
          <w:sz w:val="32"/>
          <w:szCs w:val="32"/>
          <w:shd w:val="clear" w:color="auto" w:fill="FFFFFF"/>
        </w:rPr>
        <w:t>2024年度年末无结转和结余</w:t>
      </w:r>
      <w:r>
        <w:rPr>
          <w:rFonts w:hint="default" w:ascii="Times New Roman" w:hAnsi="Times New Roman" w:eastAsia="方正仿宋_GBK"/>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115.55万元。与2023年相比，财政拨款收、支总计各增加115.55万元，增长100.0%。主要原因是2024年依据财政局要求我单位将事业单位划分为重庆市铜梁区围龙镇乡村生态治理中心等七个独立核算账套，上年度未单独核算，本年单独核算，所以本年财政拨款收、支增长为100.0%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115.55</w:t>
      </w:r>
      <w:r>
        <w:rPr>
          <w:rFonts w:hint="default" w:ascii="Times New Roman" w:hAnsi="Times New Roman" w:eastAsia="方正仿宋_GBK"/>
          <w:sz w:val="32"/>
          <w:szCs w:val="32"/>
          <w:shd w:val="clear" w:color="auto" w:fill="FFFFFF"/>
        </w:rPr>
        <w:t>万元，与2023年度相比，增加115.55万元，增长100.0%。主要原因是2024年依据财政局要求我单位将事业单位划分为重庆市铜梁区围龙镇乡村生态治理中心等七个独立核算账套，上年度未单独核算，本年单独核算，所以本年一般公共预算财政拨款收入增长为100.0%。较年初预算数减少44.46万元，下降27.8%。主要原因是2024年财政资金紧张，缩减了市政环卫及河长制项目经费。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115.55</w:t>
      </w:r>
      <w:r>
        <w:rPr>
          <w:rFonts w:hint="default" w:ascii="Times New Roman" w:hAnsi="Times New Roman" w:eastAsia="方正仿宋_GBK"/>
          <w:sz w:val="32"/>
          <w:szCs w:val="32"/>
          <w:shd w:val="clear" w:color="auto" w:fill="FFFFFF"/>
        </w:rPr>
        <w:t>万元，与2023年度相比，增加115.55万元，增长100.0%。主要原因是2024年依据财政局要求我单位将事业单位划分为重庆市铜梁区围龙镇乡村生态治理中心等七个独立核算账套，上年度未单独核算，本年单独核算，所以本年一般公共预算财政拨款支出增长为100.0%。较年初预算数减少44.46万元，下降27.8%。主要原因是2024年财政资金紧张，缩减了市政环卫及河长制项目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3.结转结余情况。</w:t>
      </w:r>
      <w:r>
        <w:rPr>
          <w:rFonts w:hint="default" w:ascii="Times New Roman" w:hAnsi="Times New Roman" w:eastAsia="方正仿宋_GBK"/>
          <w:sz w:val="32"/>
          <w:szCs w:val="32"/>
          <w:shd w:val="clear" w:color="auto" w:fill="FFFFFF"/>
        </w:rPr>
        <w:t>本单位2024年度年末无一般公共预算财政拨款结转和结余</w:t>
      </w:r>
      <w:r>
        <w:rPr>
          <w:rFonts w:hint="default" w:ascii="Times New Roman" w:hAnsi="Times New Roman" w:eastAsia="方正仿宋_GBK"/>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76万元，占6.72%，较年初预算数减少0.58万元，下降7.0%，主要原因是调整了人员社会保险。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（2）卫生健康支出2.20万元，占1.90%，较年初预算数减少0.85万元，下降27.9%，主要原因是调整了人员医疗保险。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（3）节能环保支出62.47万元，占54.06%，较年初预算数减少15.84万元，下降20.2%，主要原因是2024年财政资金紧张，缩减了河长制项目经费。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（4）城乡社区支出40.68万元，占35.20%，较年初预算数减少27.02万元，下降39.9%，主要原因是2024年财政资金紧张，缩减了农村垃圾清运项目经费。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（5）住房保障支出2.45万元，占2.12%，较年初预算数减少0.16万元，下降6.1%，主要原因是调整了人员住房公积金。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69.48</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58.90</w:t>
      </w:r>
      <w:r>
        <w:rPr>
          <w:rFonts w:hint="default" w:ascii="Times New Roman" w:hAnsi="Times New Roman" w:eastAsia="方正仿宋_GBK"/>
          <w:sz w:val="32"/>
          <w:szCs w:val="32"/>
          <w:shd w:val="clear" w:color="auto" w:fill="FFFFFF"/>
        </w:rPr>
        <w:t>万元，与2023年度相比，增加58.90万元，增长100.0%，主要原因是2024年依据财政局要求我单位将事业单位划分为重庆市铜梁区围龙镇乡村生态治理中心等七个独立核算账套，上年度未单独核算，本年单独核算，所以本年人员经费增长为100.0%。人员经费用途主要包括基本工资、津贴补贴、奖金、社会保障缴费、绩效奖励、退休干部健康休养费等。公用经费</w:t>
      </w:r>
      <w:r>
        <w:rPr>
          <w:rFonts w:hint="default" w:ascii="Times New Roman" w:hAnsi="Times New Roman" w:eastAsia="方正仿宋_GBK"/>
          <w:sz w:val="32"/>
          <w:szCs w:val="32"/>
        </w:rPr>
        <w:t>10.58</w:t>
      </w:r>
      <w:r>
        <w:rPr>
          <w:rFonts w:hint="default" w:ascii="Times New Roman" w:hAnsi="Times New Roman" w:eastAsia="方正仿宋_GBK"/>
          <w:sz w:val="32"/>
          <w:szCs w:val="32"/>
          <w:shd w:val="clear" w:color="auto" w:fill="FFFFFF"/>
        </w:rPr>
        <w:t>万元，与2023年度相比，增加10.58万元，增长100.0%，主要原因是2024年依据财政局要求我单位将事业单位划分为重庆市铜梁区围龙镇乡村生态治理中心等七个独立核算账套，上年度未单独核算，本年单独核算，所以本年公用经费增长为100.0%。公用经费用途主要包括办公费、印刷费、咨询费、水费、电费、邮电费、差旅费、维修（护）费、劳务费、工会经费、其他交通费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textAlignment w:val="auto"/>
        <w:rPr>
          <w:rStyle w:val="8"/>
          <w:rFonts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万元，与2023年度相比，本年度培训费支出</w:t>
      </w:r>
      <w:r>
        <w:rPr>
          <w:rFonts w:hint="default" w:ascii="Times New Roman" w:hAnsi="Times New Roman" w:eastAsia="方正仿宋_GBK"/>
          <w:sz w:val="32"/>
          <w:szCs w:val="32"/>
        </w:rPr>
        <w:t>0.09</w:t>
      </w:r>
      <w:r>
        <w:rPr>
          <w:rFonts w:hint="default" w:ascii="Times New Roman" w:hAnsi="Times New Roman" w:eastAsia="方正仿宋_GBK"/>
          <w:sz w:val="32"/>
          <w:szCs w:val="32"/>
          <w:shd w:val="clear" w:color="auto" w:fill="FFFFFF"/>
        </w:rPr>
        <w:t>万元，与2023年度相比，增加0.09万元，增长100.0%，主要原因是2024年依据财政局要求我单位将事业单位划分为重庆市铜梁区围龙镇乡村生态治理中心等七个独立核算账套，上年度未单独核算，本年单独核算，所以本年培训费增长为100.0%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800" w:firstLineChars="25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Style w:val="8"/>
          <w:rFonts w:hint="eastAsia"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根据预算绩效管理要求，我单位对2个项目开展了绩效自评，其中，以填报自评表形式开展自评2项，涉及资金46.07万元；以委托第三方出具报告的方式（如有）开展绩效评价0项，涉及资金0万元。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详见附件。</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我单位对2项目进行绩效自评，其中2个已完成年度绩效目标，0个未完成年度绩效目标。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textAlignment w:val="auto"/>
        <w:rPr>
          <w:rFonts w:ascii="方正楷体_GBK" w:hAnsi="Times New Roman" w:eastAsia="方正楷体_GBK"/>
          <w:bCs/>
          <w:sz w:val="32"/>
          <w:szCs w:val="32"/>
          <w:shd w:val="clear" w:color="auto" w:fill="FFFFFF"/>
          <w:lang w:bidi="ar"/>
        </w:rPr>
      </w:pPr>
      <w:r>
        <w:rPr>
          <w:rFonts w:ascii="方正楷体_GBK" w:hAnsi="Times New Roman" w:eastAsia="方正楷体_GBK"/>
          <w:bCs/>
          <w:sz w:val="32"/>
          <w:szCs w:val="32"/>
          <w:shd w:val="clear" w:color="auto" w:fill="FFFFFF"/>
          <w:lang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hint="eastAsia"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textAlignment w:val="auto"/>
        <w:rPr>
          <w:rFonts w:ascii="Times New Roman" w:hAnsi="Times New Roman" w:eastAsia="方正仿宋_GBK"/>
          <w:sz w:val="32"/>
          <w:szCs w:val="32"/>
          <w:shd w:val="clear" w:color="auto" w:fill="FFFFFF"/>
        </w:rPr>
      </w:pPr>
      <w:bookmarkStart w:id="0" w:name="_GoBack"/>
      <w:bookmarkEnd w:id="0"/>
      <w:r>
        <w:rPr>
          <w:rFonts w:ascii="Times New Roman" w:hAnsi="Times New Roman" w:eastAsia="方正仿宋_GBK"/>
          <w:sz w:val="32"/>
          <w:szCs w:val="32"/>
          <w:shd w:val="clear" w:color="auto" w:fill="FFFFFF"/>
        </w:rPr>
        <w:t>联系人：黄山花 联系方式：023-45360309</w:t>
      </w:r>
    </w:p>
    <w:p>
      <w:pPr>
        <w:pStyle w:val="9"/>
        <w:autoSpaceDE w:val="0"/>
        <w:spacing w:line="560" w:lineRule="exact"/>
        <w:ind w:firstLine="640"/>
        <w:jc w:val="both"/>
        <w:rPr>
          <w:rStyle w:val="11"/>
          <w:rFonts w:ascii="Times New Roman" w:hAnsi="Times New Roman" w:eastAsia="方正仿宋_GBK" w:cs="Times New Roman"/>
          <w:b w:val="0"/>
          <w:sz w:val="32"/>
          <w:szCs w:val="32"/>
          <w:shd w:val="clear" w:color="auto" w:fill="FFFF00"/>
        </w:rPr>
      </w:pPr>
    </w:p>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131716"/>
    <w:rsid w:val="001A54D6"/>
    <w:rsid w:val="0033783C"/>
    <w:rsid w:val="003C2DBA"/>
    <w:rsid w:val="005173F9"/>
    <w:rsid w:val="00550ABE"/>
    <w:rsid w:val="00670DDC"/>
    <w:rsid w:val="007B419D"/>
    <w:rsid w:val="0094207E"/>
    <w:rsid w:val="009B67B8"/>
    <w:rsid w:val="00B03CCD"/>
    <w:rsid w:val="00B42A46"/>
    <w:rsid w:val="00BF2190"/>
    <w:rsid w:val="00FD376E"/>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E7D3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756</Words>
  <Characters>4315</Characters>
  <Lines>35</Lines>
  <Paragraphs>10</Paragraphs>
  <TotalTime>71</TotalTime>
  <ScaleCrop>false</ScaleCrop>
  <LinksUpToDate>false</LinksUpToDate>
  <CharactersWithSpaces>5061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2025-10-28T16:21:13Z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