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jc w:val="center"/>
        <w:textAlignment w:val="auto"/>
        <w:rPr>
          <w:rFonts w:ascii="方正小标宋_GBK" w:hAnsi="Times New Roman" w:eastAsia="方正小标宋_GBK"/>
          <w:sz w:val="44"/>
          <w:szCs w:val="44"/>
        </w:rPr>
      </w:pPr>
      <w:bookmarkStart w:id="0" w:name="_GoBack"/>
      <w:r>
        <w:rPr>
          <w:rFonts w:ascii="方正小标宋_GBK" w:hAnsi="Times New Roman" w:eastAsia="方正小标宋_GBK"/>
          <w:sz w:val="44"/>
          <w:szCs w:val="44"/>
        </w:rPr>
        <w:t>重庆市铜梁区围龙镇文化服务中心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atLeast"/>
        <w:jc w:val="center"/>
        <w:textAlignment w:val="auto"/>
        <w:rPr>
          <w:rStyle w:val="8"/>
          <w:rFonts w:ascii="方正黑体_GBK" w:hAnsi="Times New Roman" w:eastAsia="方正黑体_GBK"/>
          <w:b w:val="0"/>
          <w:sz w:val="32"/>
          <w:szCs w:val="32"/>
          <w:shd w:val="clear" w:color="auto" w:fill="FFFFFF"/>
        </w:rPr>
      </w:pPr>
      <w:r>
        <w:rPr>
          <w:rFonts w:ascii="方正小标宋_GBK" w:hAnsi="Times New Roman" w:eastAsia="方正小标宋_GBK"/>
          <w:sz w:val="44"/>
          <w:szCs w:val="44"/>
          <w:shd w:val="clear" w:color="auto" w:fill="FFFFFF"/>
        </w:rPr>
        <w:t>2024年度决算公开说明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ind w:firstLine="640" w:firstLineChars="200"/>
        <w:textAlignment w:val="auto"/>
        <w:rPr>
          <w:rStyle w:val="8"/>
          <w:rFonts w:ascii="方正黑体_GBK" w:hAnsi="Times New Roman" w:eastAsia="方正黑体_GBK"/>
          <w:b w:val="0"/>
          <w:sz w:val="32"/>
          <w:szCs w:val="32"/>
          <w:shd w:val="clear" w:color="auto" w:fill="FFFFFF"/>
        </w:rPr>
      </w:pP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ind w:firstLine="640" w:firstLineChars="200"/>
        <w:textAlignment w:val="auto"/>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一、单位基本情况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atLeast"/>
        <w:ind w:firstLine="640" w:firstLineChars="200"/>
        <w:textAlignment w:val="auto"/>
        <w:rPr>
          <w:rFonts w:hint="default" w:ascii="方正楷体_GBK" w:hAnsi="Times New Roman" w:eastAsia="方正楷体_GBK"/>
          <w:sz w:val="32"/>
          <w:szCs w:val="32"/>
        </w:rPr>
      </w:pPr>
      <w:r>
        <w:rPr>
          <w:rStyle w:val="8"/>
          <w:rFonts w:ascii="方正楷体_GBK" w:hAnsi="Times New Roman" w:eastAsia="方正楷体_GBK"/>
          <w:b w:val="0"/>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atLeas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主要承担文化旅游、宣传、文明建设、广播电视、体育、科技培训等事务性工作，协调做好文艺演出活动和文化市场管理的事务性工作，负责文明实践、志愿服务活动、非物质文化遗产搜集、整理等工作；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atLeast"/>
        <w:ind w:firstLine="640" w:firstLineChars="200"/>
        <w:textAlignment w:val="auto"/>
        <w:rPr>
          <w:rFonts w:hint="default" w:ascii="方正楷体_GBK" w:hAnsi="Times New Roman" w:eastAsia="方正楷体_GBK"/>
          <w:sz w:val="32"/>
          <w:szCs w:val="32"/>
        </w:rPr>
      </w:pPr>
      <w:r>
        <w:rPr>
          <w:rStyle w:val="8"/>
          <w:rFonts w:ascii="方正楷体_GBK" w:hAnsi="Times New Roman" w:eastAsia="方正楷体_GBK"/>
          <w:b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atLeast"/>
        <w:ind w:firstLine="640" w:firstLineChars="200"/>
        <w:textAlignment w:val="auto"/>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color w:val="000000"/>
          <w:sz w:val="32"/>
          <w:szCs w:val="32"/>
        </w:rPr>
        <w:t>根据编制情况，我单位机构设置办公室</w:t>
      </w:r>
      <w:r>
        <w:rPr>
          <w:rFonts w:hint="default" w:ascii="Times New Roman" w:hAnsi="Times New Roman" w:eastAsia="方正仿宋_GBK"/>
          <w:sz w:val="32"/>
          <w:szCs w:val="32"/>
        </w:rPr>
        <w:t>主任1名，下设科教文体</w:t>
      </w:r>
      <w:r>
        <w:rPr>
          <w:rFonts w:hint="default" w:ascii="Times New Roman" w:hAnsi="Times New Roman" w:eastAsia="方正仿宋_GBK"/>
          <w:color w:val="000000"/>
          <w:sz w:val="32"/>
          <w:szCs w:val="32"/>
        </w:rPr>
        <w:t>岗。</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ind w:firstLine="640" w:firstLineChars="200"/>
        <w:textAlignment w:val="auto"/>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二、单位决算收支情况说明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419" w:firstLineChars="131"/>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atLeast"/>
        <w:ind w:firstLine="640" w:firstLineChars="200"/>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1.总体情况。</w:t>
      </w:r>
      <w:r>
        <w:rPr>
          <w:rFonts w:hint="default" w:ascii="Times New Roman" w:hAnsi="Times New Roman" w:eastAsia="方正仿宋_GBK"/>
          <w:sz w:val="32"/>
          <w:szCs w:val="32"/>
          <w:shd w:val="clear" w:color="auto" w:fill="FFFFFF"/>
        </w:rPr>
        <w:t>2024年度收入总计76.47万元，支出总计</w:t>
      </w:r>
      <w:r>
        <w:rPr>
          <w:rFonts w:hint="default" w:ascii="Times New Roman" w:hAnsi="Times New Roman" w:eastAsia="方正仿宋_GBK"/>
          <w:sz w:val="32"/>
          <w:szCs w:val="32"/>
        </w:rPr>
        <w:t>76.47</w:t>
      </w:r>
      <w:r>
        <w:rPr>
          <w:rFonts w:hint="default" w:ascii="Times New Roman" w:hAnsi="Times New Roman" w:eastAsia="方正仿宋_GBK"/>
          <w:sz w:val="32"/>
          <w:szCs w:val="32"/>
          <w:shd w:val="clear" w:color="auto" w:fill="FFFFFF"/>
        </w:rPr>
        <w:t>万元。收、支与2023年度相比，增加76.47万元，增长100.0%，主要原因是2024年依据财政局要求我单位将事业单位划分为重庆市铜梁区围龙镇文化服务中心等七个独立核算账套，上年度未单独核算，本年单独核算，所以本年收、支增长为100.0%。</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atLeast"/>
        <w:ind w:firstLine="640" w:firstLineChars="200"/>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2.收入情况。</w:t>
      </w:r>
      <w:r>
        <w:rPr>
          <w:rFonts w:hint="default" w:ascii="Times New Roman" w:hAnsi="Times New Roman" w:eastAsia="方正仿宋_GBK"/>
          <w:sz w:val="32"/>
          <w:szCs w:val="32"/>
          <w:shd w:val="clear" w:color="auto" w:fill="FFFFFF"/>
        </w:rPr>
        <w:t>2024年度收入合计76.47万元，与2023年度相比，增加76.47万元，增长100.0%，主要原因是2024年依据财政局要求我单位将事业单位划分为重庆市铜梁区围龙镇文化服务中心等七个独立核算账套，上年度未单独核算，本年单独核算，所以本年收入增长为100.0%。其中：财政拨款收入</w:t>
      </w:r>
      <w:r>
        <w:rPr>
          <w:rFonts w:hint="default" w:ascii="Times New Roman" w:hAnsi="Times New Roman" w:eastAsia="方正仿宋_GBK"/>
          <w:sz w:val="32"/>
          <w:szCs w:val="32"/>
        </w:rPr>
        <w:t>76.47</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atLeast"/>
        <w:ind w:firstLine="640" w:firstLineChars="200"/>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76.47</w:t>
      </w:r>
      <w:r>
        <w:rPr>
          <w:rFonts w:hint="default" w:ascii="Times New Roman" w:hAnsi="Times New Roman" w:eastAsia="方正仿宋_GBK"/>
          <w:sz w:val="32"/>
          <w:szCs w:val="32"/>
          <w:shd w:val="clear" w:color="auto" w:fill="FFFFFF"/>
        </w:rPr>
        <w:t>万元，与2023年度相比，增加76.47万元，增长100.0%，主要原因是2024年依据财政局要求我单位将事业单位划分为重庆市铜梁区围龙镇文化服务中心等七个独立核算账套，上年度未单独核算，本年单独核算，所以本年支出增长为100.0%。其中：基本支出</w:t>
      </w:r>
      <w:r>
        <w:rPr>
          <w:rFonts w:hint="default" w:ascii="Times New Roman" w:hAnsi="Times New Roman" w:eastAsia="方正仿宋_GBK"/>
          <w:sz w:val="32"/>
          <w:szCs w:val="32"/>
        </w:rPr>
        <w:t>76.47</w:t>
      </w:r>
      <w:r>
        <w:rPr>
          <w:rFonts w:hint="default" w:ascii="Times New Roman" w:hAnsi="Times New Roman" w:eastAsia="方正仿宋_GBK"/>
          <w:sz w:val="32"/>
          <w:szCs w:val="32"/>
          <w:shd w:val="clear" w:color="auto" w:fill="FFFFFF"/>
        </w:rPr>
        <w:t>万元，占100.00%；项目支出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4.结转结余情况。</w:t>
      </w:r>
      <w:r>
        <w:rPr>
          <w:rFonts w:hint="default" w:ascii="Times New Roman" w:hAnsi="Times New Roman" w:eastAsia="方正仿宋_GBK"/>
          <w:sz w:val="32"/>
          <w:szCs w:val="32"/>
          <w:shd w:val="clear" w:color="auto" w:fill="FFFFFF"/>
        </w:rPr>
        <w:t>本单位2024年度年末无结转和结余</w:t>
      </w:r>
      <w:r>
        <w:rPr>
          <w:rFonts w:hint="default" w:ascii="Times New Roman" w:hAnsi="Times New Roman" w:eastAsia="方正仿宋_GBK"/>
          <w:sz w:val="32"/>
          <w:szCs w:val="32"/>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76.47万元。与2023年相比，财政拨款收、支总计各增加76.47万元，增长100.0%。主要原因是2024年依据财政局要求我单位将事业单位划分为重庆市铜梁区围龙镇文化服务中心等七个独立核算账套，上年度未单独核算，本年单独核算，所以财政拨款收、支增长为100.0%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76.47</w:t>
      </w:r>
      <w:r>
        <w:rPr>
          <w:rFonts w:hint="default" w:ascii="Times New Roman" w:hAnsi="Times New Roman" w:eastAsia="方正仿宋_GBK"/>
          <w:sz w:val="32"/>
          <w:szCs w:val="32"/>
          <w:shd w:val="clear" w:color="auto" w:fill="FFFFFF"/>
        </w:rPr>
        <w:t>万元，与2023年度相比，增加76.47万元，增长100.0%。主要原因是2024年依据财政局要求我单位将事业单位划分为重庆市铜梁区围龙镇文化服务中心等七个独立核算账套，上年度未单独核算，本年单独核算，所以一般公共预算财政拨款收入增长为100.0%。较年初预算数减少7.92万元，下降9.4%。主要原因是2024年由于财政资金紧张，年中调整了部分项目资金，缩减了预算。此外，年初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Style w:val="8"/>
          <w:rFonts w:hint="default" w:ascii="Times New Roman" w:hAnsi="Times New Roman" w:eastAsia="方正仿宋_GBK"/>
          <w:b w:val="0"/>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76.47</w:t>
      </w:r>
      <w:r>
        <w:rPr>
          <w:rFonts w:hint="default" w:ascii="Times New Roman" w:hAnsi="Times New Roman" w:eastAsia="方正仿宋_GBK"/>
          <w:sz w:val="32"/>
          <w:szCs w:val="32"/>
          <w:shd w:val="clear" w:color="auto" w:fill="FFFFFF"/>
        </w:rPr>
        <w:t>万元，与2023年度相比，增加76.47万元，增长100.0%。主要原因是2024年依据财政局要求我单位将事业单位划分为重庆市铜梁区围龙镇文化服务中心等七个独立核算账套，上年度未单独核算，本年单独核算，所以一般公共预算财政拨款支出增长为100.0%。较年初预算数减少7.92万元，下降9.4%。主要原因是2024年由于财政资金紧张，年中调整了部分项目资金，缩减了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b w:val="0"/>
          <w:sz w:val="32"/>
          <w:szCs w:val="32"/>
          <w:shd w:val="clear" w:color="auto" w:fill="FFFFFF"/>
        </w:rPr>
        <w:t>3.结转结余情况。</w:t>
      </w:r>
      <w:r>
        <w:rPr>
          <w:rFonts w:hint="default" w:ascii="Times New Roman" w:hAnsi="Times New Roman" w:eastAsia="方正仿宋_GBK"/>
          <w:sz w:val="32"/>
          <w:szCs w:val="32"/>
          <w:shd w:val="clear" w:color="auto" w:fill="FFFFFF"/>
        </w:rPr>
        <w:t>本单位2024年度年末无一般公共预算财政拨款结转和结余。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olor w:val="FF0000"/>
          <w:sz w:val="32"/>
          <w:szCs w:val="32"/>
          <w:highlight w:val="cyan"/>
          <w:shd w:val="clear" w:color="auto" w:fill="FFFFFF"/>
        </w:rPr>
      </w:pPr>
      <w:r>
        <w:rPr>
          <w:rStyle w:val="8"/>
          <w:rFonts w:hint="default" w:ascii="Times New Roman" w:hAnsi="Times New Roman" w:eastAsia="方正仿宋_GBK"/>
          <w:b w:val="0"/>
          <w:sz w:val="32"/>
          <w:szCs w:val="32"/>
          <w:shd w:val="clear" w:color="auto" w:fill="FFFFFF"/>
        </w:rPr>
        <w:t>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（1）文化旅游体育与传媒支出</w:t>
      </w:r>
      <w:r>
        <w:rPr>
          <w:rFonts w:hint="default" w:ascii="Times New Roman" w:hAnsi="Times New Roman" w:eastAsia="方正仿宋_GBK"/>
          <w:sz w:val="32"/>
          <w:szCs w:val="32"/>
        </w:rPr>
        <w:t>60.43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79.02</w:t>
      </w:r>
      <w:r>
        <w:rPr>
          <w:rFonts w:hint="default" w:ascii="Times New Roman" w:hAnsi="Times New Roman" w:eastAsia="方正仿宋_GBK"/>
          <w:sz w:val="32"/>
          <w:szCs w:val="32"/>
          <w:shd w:val="clear" w:color="auto" w:fill="FFFFFF"/>
        </w:rPr>
        <w:t>%，较年初预算数减少6.49万元，下降9.7%，主要原因是2024年由于财政资金紧张，年中调整了部分项目资金，缩减了预算。</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（2）社会保障与就业支出10.70万元，占14.00%，较年初预算数减少0.82万元，下降7.1%，主要原因是调整了在职人员社会保险。</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（3）卫生健康支出2.85万元，占3.73%，较年初预算数减少0.46万元，下降13.9%，主要原因是调整了在职人员医疗保险。</w:t>
      </w:r>
    </w:p>
    <w:p>
      <w:pPr>
        <w:keepNext w:val="0"/>
        <w:keepLines w:val="0"/>
        <w:pageBreakBefore w:val="0"/>
        <w:widowControl/>
        <w:kinsoku/>
        <w:wordWrap/>
        <w:overflowPunct/>
        <w:topLinePunct w:val="0"/>
        <w:autoSpaceDN/>
        <w:bidi w:val="0"/>
        <w:adjustRightInd/>
        <w:spacing w:beforeAutospacing="0" w:afterAutospacing="0" w:line="560" w:lineRule="atLeast"/>
        <w:ind w:firstLine="640" w:firstLineChars="20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（4）住房保障支出2.49万元，占3.26%，较年初预算数减少0.16万元，下降6.0%，主要原因是调整了在职人员住房公积金。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w:t>
      </w:r>
      <w:r>
        <w:rPr>
          <w:rFonts w:hint="default" w:ascii="Times New Roman" w:hAnsi="Times New Roman" w:eastAsia="方正仿宋_GBK"/>
          <w:sz w:val="32"/>
          <w:szCs w:val="32"/>
        </w:rPr>
        <w:t>76.47</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63.91</w:t>
      </w:r>
      <w:r>
        <w:rPr>
          <w:rFonts w:hint="default" w:ascii="Times New Roman" w:hAnsi="Times New Roman" w:eastAsia="方正仿宋_GBK"/>
          <w:sz w:val="32"/>
          <w:szCs w:val="32"/>
          <w:shd w:val="clear" w:color="auto" w:fill="FFFFFF"/>
        </w:rPr>
        <w:t>万元，与2023年度相比，增加63.91万元，增长100.0%，主要原因是2024年依据财政局要求我单位将事业单位划分为重庆市铜梁区围龙镇文化服务中心等七个独立核算账套，上年度未单独核算，本年单独核算，所以人员经费增长为100.0%。人员经费用途主要包括基本工资、津贴补贴、奖金、社会保障缴费、绩效奖励、退休干部健康休养费等。公用经费</w:t>
      </w:r>
      <w:r>
        <w:rPr>
          <w:rFonts w:hint="default" w:ascii="Times New Roman" w:hAnsi="Times New Roman" w:eastAsia="方正仿宋_GBK"/>
          <w:sz w:val="32"/>
          <w:szCs w:val="32"/>
        </w:rPr>
        <w:t>12.56</w:t>
      </w:r>
      <w:r>
        <w:rPr>
          <w:rFonts w:hint="default" w:ascii="Times New Roman" w:hAnsi="Times New Roman" w:eastAsia="方正仿宋_GBK"/>
          <w:sz w:val="32"/>
          <w:szCs w:val="32"/>
          <w:shd w:val="clear" w:color="auto" w:fill="FFFFFF"/>
        </w:rPr>
        <w:t>万元，与2023年度相比，增加12.56万元，增长100.0%，主要原因是2024年依据财政局要求我单位将事业单位划分为重庆市铜梁区围龙镇文化服务中心等七个独立核算账套，上年度未单独核算，本年单独核算，所以公用经费增长为100.0%。公用经费用途主要包括办公费、印刷费、咨询费、水费、电费、邮电费、差旅费、维修（护）费、劳务费、工会经费、其他交通费等。</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ind w:firstLine="640" w:firstLineChars="200"/>
        <w:textAlignment w:val="auto"/>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三、财政拨款“三公”经费情况说明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万元，费用支出较年初预算数无增减，与2023年度相比无增减。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atLeast"/>
        <w:ind w:firstLine="640" w:firstLineChars="200"/>
        <w:textAlignment w:val="auto"/>
        <w:rPr>
          <w:rStyle w:val="8"/>
          <w:rFonts w:hint="default" w:ascii="方正黑体_GBK" w:hAnsi="Times New Roman" w:eastAsia="方正黑体_GBK"/>
          <w:b w:val="0"/>
          <w:sz w:val="32"/>
          <w:szCs w:val="32"/>
          <w:shd w:val="clear" w:color="auto" w:fill="FFFFFF"/>
        </w:rPr>
      </w:pPr>
      <w:r>
        <w:rPr>
          <w:rStyle w:val="8"/>
          <w:rFonts w:ascii="方正黑体_GBK" w:hAnsi="Times New Roman" w:eastAsia="方正黑体_GBK"/>
          <w:b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万元，与2023年度相比，无增减。本年度培训费支出</w:t>
      </w:r>
      <w:r>
        <w:rPr>
          <w:rFonts w:hint="default" w:ascii="Times New Roman" w:hAnsi="Times New Roman" w:eastAsia="方正仿宋_GBK"/>
          <w:sz w:val="32"/>
          <w:szCs w:val="32"/>
        </w:rPr>
        <w:t>0.04</w:t>
      </w:r>
      <w:r>
        <w:rPr>
          <w:rFonts w:hint="default" w:ascii="Times New Roman" w:hAnsi="Times New Roman" w:eastAsia="方正仿宋_GBK"/>
          <w:sz w:val="32"/>
          <w:szCs w:val="32"/>
          <w:shd w:val="clear" w:color="auto" w:fill="FFFFFF"/>
        </w:rPr>
        <w:t>万元，与2023年度相比，增加0.04万元，增长100.0%，主要原因是2024年依据财政局要求我单位将事业单位划分为重庆市铜梁区围龙镇文化服务中心等七个独立核算账套，上年度未单独核算，本年单独核算，所以培训费增长为100.0%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楷体_GBK" w:hAnsi="Times New Roman" w:eastAsia="方正楷体_GBK"/>
          <w:bCs/>
          <w:sz w:val="32"/>
          <w:szCs w:val="32"/>
          <w:shd w:val="clear" w:color="auto" w:fill="FFFFFF"/>
        </w:rPr>
      </w:pPr>
      <w:r>
        <w:rPr>
          <w:rFonts w:ascii="方正楷体_GBK" w:hAnsi="Times New Roman" w:eastAsia="方正楷体_GBK"/>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截至2024年12月31日，本单位共有车辆</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Style w:val="8"/>
          <w:rFonts w:ascii="方正黑体_GBK" w:hAnsi="Times New Roman" w:eastAsia="方正黑体_GBK"/>
          <w:b w:val="0"/>
          <w:sz w:val="32"/>
          <w:szCs w:val="32"/>
          <w:shd w:val="clear" w:color="auto" w:fill="FFFFFF"/>
        </w:rPr>
      </w:pPr>
      <w:r>
        <w:rPr>
          <w:rStyle w:val="8"/>
          <w:rFonts w:hint="eastAsia" w:ascii="方正黑体_GBK" w:hAnsi="Times New Roman" w:eastAsia="方正黑体_GBK"/>
          <w:b w:val="0"/>
          <w:sz w:val="32"/>
          <w:szCs w:val="32"/>
          <w:shd w:val="clear" w:color="auto" w:fill="FFFFFF"/>
        </w:rPr>
        <w:t>五、2024年度预算绩效管理情况说明</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atLeast"/>
        <w:ind w:firstLine="640" w:firstLineChars="20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（一）预算绩效管理工作开展情况</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根据预算绩效管理要求，我单位对0个项目开展了绩效自评，其中，以填报自评表形式开展自评0项，涉及资金0万元；以委托第三方出具报告的方式（如有）开展绩效评价0项，涉及资金0万元。</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atLeast"/>
        <w:ind w:firstLine="640" w:firstLineChars="200"/>
        <w:textAlignment w:val="auto"/>
        <w:rPr>
          <w:rFonts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（二）绩效自评结果</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1.项目绩效自评表。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无</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2.项目绩效自评报告或案例。</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bCs/>
          <w:sz w:val="32"/>
          <w:szCs w:val="32"/>
          <w:shd w:val="clear" w:color="auto" w:fill="FFFFFF"/>
        </w:rPr>
        <w:t>我单位未委托第三方开展绩效评价</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3.关于绩效自评结果的说明。</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我单位对0项目进行绩效自评，其中0个已完成年度绩效目标，0个未完成年度绩效目标。</w:t>
      </w:r>
    </w:p>
    <w:p>
      <w:pPr>
        <w:pStyle w:val="12"/>
        <w:keepNext w:val="0"/>
        <w:keepLines w:val="0"/>
        <w:pageBreakBefore w:val="0"/>
        <w:widowControl/>
        <w:kinsoku/>
        <w:wordWrap/>
        <w:overflowPunct/>
        <w:topLinePunct w:val="0"/>
        <w:autoSpaceDE w:val="0"/>
        <w:autoSpaceDN/>
        <w:bidi w:val="0"/>
        <w:adjustRightInd/>
        <w:spacing w:beforeAutospacing="0" w:afterAutospacing="0" w:line="560" w:lineRule="atLeast"/>
        <w:ind w:firstLine="640"/>
        <w:textAlignment w:val="auto"/>
        <w:rPr>
          <w:rFonts w:hint="default" w:ascii="方正楷体_GBK" w:hAnsi="Times New Roman" w:eastAsia="方正楷体_GBK"/>
          <w:bCs/>
          <w:sz w:val="32"/>
          <w:szCs w:val="32"/>
          <w:shd w:val="clear" w:color="auto" w:fill="FFFFFF"/>
          <w:lang w:bidi="ar"/>
        </w:rPr>
      </w:pPr>
      <w:r>
        <w:rPr>
          <w:rFonts w:ascii="方正楷体_GBK" w:hAnsi="Times New Roman" w:eastAsia="方正楷体_GBK"/>
          <w:bCs/>
          <w:sz w:val="32"/>
          <w:szCs w:val="32"/>
          <w:shd w:val="clear" w:color="auto" w:fill="FFFFFF"/>
          <w:lang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bCs/>
          <w:sz w:val="32"/>
          <w:szCs w:val="32"/>
          <w:shd w:val="clear" w:color="auto" w:fill="FFFFFF"/>
        </w:rPr>
        <w:t>我单位无财政重点绩效评价项目。</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60" w:lineRule="atLeast"/>
        <w:ind w:firstLine="640" w:firstLineChars="200"/>
        <w:textAlignment w:val="auto"/>
        <w:rPr>
          <w:rFonts w:ascii="方正黑体_GBK" w:hAnsi="Times New Roman" w:eastAsia="方正黑体_GBK"/>
          <w:sz w:val="32"/>
          <w:szCs w:val="32"/>
        </w:rPr>
      </w:pPr>
      <w:r>
        <w:rPr>
          <w:rStyle w:val="11"/>
          <w:rFonts w:ascii="Times New Roman" w:hAnsi="Times New Roman" w:eastAsia="方正仿宋_GBK" w:cs="Times New Roman"/>
          <w:b w:val="0"/>
          <w:sz w:val="32"/>
          <w:szCs w:val="32"/>
          <w:shd w:val="clear" w:color="auto" w:fill="FFFFFF"/>
        </w:rPr>
        <w:t xml:space="preserve"> </w:t>
      </w:r>
      <w:r>
        <w:rPr>
          <w:rStyle w:val="8"/>
          <w:rFonts w:hint="eastAsia" w:ascii="方正黑体_GBK" w:hAnsi="Times New Roman" w:eastAsia="方正黑体_GBK"/>
          <w:b w:val="0"/>
          <w:sz w:val="32"/>
          <w:szCs w:val="32"/>
          <w:shd w:val="clear" w:color="auto" w:fill="FFFFFF"/>
        </w:rPr>
        <w:t>六、专业名词解释</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（一）财政拨款收入：</w:t>
      </w:r>
      <w:r>
        <w:rPr>
          <w:rFonts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（二）事业收入：</w:t>
      </w:r>
      <w:r>
        <w:rPr>
          <w:rFonts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（三）经营收入：</w:t>
      </w:r>
      <w:r>
        <w:rPr>
          <w:rFonts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（四）其他收入：</w:t>
      </w:r>
      <w:r>
        <w:rPr>
          <w:rFonts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（五）使用非财政拨款结余：</w:t>
      </w:r>
      <w:r>
        <w:rPr>
          <w:rFonts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（六）年初结转和结余：</w:t>
      </w:r>
      <w:r>
        <w:rPr>
          <w:rFonts w:ascii="Times New Roman" w:hAnsi="Times New Roman" w:eastAsia="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（七）结余分配：</w:t>
      </w:r>
      <w:r>
        <w:rPr>
          <w:rFonts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（八）年末结转和结余：</w:t>
      </w:r>
      <w:r>
        <w:rPr>
          <w:rFonts w:ascii="Times New Roman" w:hAnsi="Times New Roman" w:eastAsia="方正仿宋_GBK"/>
          <w:sz w:val="32"/>
          <w:szCs w:val="32"/>
          <w:shd w:val="clear" w:color="auto"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（九）基本支出：</w:t>
      </w:r>
      <w:r>
        <w:rPr>
          <w:rFonts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（十）项目支出：</w:t>
      </w:r>
      <w:r>
        <w:rPr>
          <w:rFonts w:ascii="Times New Roman" w:hAnsi="Times New Roman" w:eastAsia="方正仿宋_GBK"/>
          <w:sz w:val="32"/>
          <w:szCs w:val="32"/>
          <w:shd w:val="clear" w:color="auto"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（十一）经营支出：</w:t>
      </w:r>
      <w:r>
        <w:rPr>
          <w:rFonts w:ascii="Times New Roman" w:hAnsi="Times New Roman" w:eastAsia="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（十二）“三公”经费：</w:t>
      </w:r>
      <w:r>
        <w:rPr>
          <w:rFonts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（十三）机关运行经费：</w:t>
      </w:r>
      <w:r>
        <w:rPr>
          <w:rFonts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（十四）工资福利支出（支出经济分类科目类级）：</w:t>
      </w:r>
      <w:r>
        <w:rPr>
          <w:rFonts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（十五）商品和服务支出（支出经济分类科目类级）：</w:t>
      </w:r>
      <w:r>
        <w:rPr>
          <w:rFonts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（十六）对个人和家庭的补助（支出经济分类科目类级）：</w:t>
      </w:r>
      <w:r>
        <w:rPr>
          <w:rFonts w:ascii="Times New Roman" w:hAnsi="Times New Roman" w:eastAsia="方正仿宋_GBK"/>
          <w:sz w:val="32"/>
          <w:szCs w:val="32"/>
          <w:shd w:val="clear" w:color="auto" w:fill="FFFFFF"/>
        </w:rPr>
        <w:t>反映用于对个人和家庭的补助支出。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Style w:val="8"/>
          <w:rFonts w:ascii="Times New Roman" w:hAnsi="Times New Roman" w:eastAsia="方正仿宋_GBK"/>
          <w:b w:val="0"/>
          <w:sz w:val="32"/>
          <w:szCs w:val="32"/>
          <w:shd w:val="clear" w:color="auto" w:fill="FFFFFF"/>
        </w:rPr>
        <w:t>（十七）其他资本性支出（支出经济分类科目类级）：</w:t>
      </w:r>
      <w:r>
        <w:rPr>
          <w:rFonts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方正黑体_GBK" w:hAnsi="Times New Roman" w:eastAsia="方正黑体_GBK"/>
          <w:sz w:val="32"/>
          <w:szCs w:val="32"/>
        </w:rPr>
      </w:pPr>
      <w:r>
        <w:rPr>
          <w:rStyle w:val="8"/>
          <w:rFonts w:hint="eastAsia" w:ascii="方正黑体_GBK" w:hAnsi="Times New Roman" w:eastAsia="方正黑体_GBK"/>
          <w:b w:val="0"/>
          <w:sz w:val="32"/>
          <w:szCs w:val="32"/>
          <w:shd w:val="clear" w:color="auto" w:fill="FFFFFF"/>
        </w:rPr>
        <w:t>七、决算公开联系方式及信息反馈渠道</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shd w:val="clear" w:color="auto" w:fill="FFFFFF"/>
        </w:rPr>
        <w:t>本单位决算公开信息反馈和联系方式：</w:t>
      </w:r>
    </w:p>
    <w:p>
      <w:pPr>
        <w:pStyle w:val="10"/>
        <w:keepNext w:val="0"/>
        <w:keepLines w:val="0"/>
        <w:pageBreakBefore w:val="0"/>
        <w:widowControl/>
        <w:kinsoku/>
        <w:wordWrap/>
        <w:overflowPunct/>
        <w:topLinePunct w:val="0"/>
        <w:autoSpaceDN/>
        <w:bidi w:val="0"/>
        <w:adjustRightInd/>
        <w:spacing w:before="0" w:beforeAutospacing="0" w:after="0" w:afterAutospacing="0" w:line="560" w:lineRule="atLeast"/>
        <w:ind w:firstLine="640" w:firstLineChars="200"/>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联系人：</w:t>
      </w:r>
      <w:r>
        <w:rPr>
          <w:rFonts w:hint="eastAsia" w:ascii="Times New Roman" w:hAnsi="Times New Roman" w:eastAsia="方正仿宋_GBK"/>
          <w:sz w:val="32"/>
          <w:szCs w:val="32"/>
          <w:shd w:val="clear" w:color="auto" w:fill="FFFFFF"/>
        </w:rPr>
        <w:t>黄山花</w:t>
      </w:r>
      <w:r>
        <w:rPr>
          <w:rFonts w:ascii="Times New Roman" w:hAnsi="Times New Roman" w:eastAsia="方正仿宋_GBK"/>
          <w:sz w:val="32"/>
          <w:szCs w:val="32"/>
          <w:shd w:val="clear" w:color="auto" w:fill="FFFFFF"/>
        </w:rPr>
        <w:t xml:space="preserve"> 联系方式：023-</w:t>
      </w:r>
      <w:r>
        <w:rPr>
          <w:rFonts w:hint="eastAsia" w:ascii="Times New Roman" w:hAnsi="Times New Roman" w:eastAsia="方正仿宋_GBK"/>
          <w:sz w:val="32"/>
          <w:szCs w:val="32"/>
          <w:shd w:val="clear" w:color="auto" w:fill="FFFFFF"/>
        </w:rPr>
        <w:t>45360309</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atLeast"/>
        <w:ind w:firstLine="640"/>
        <w:jc w:val="both"/>
        <w:textAlignment w:val="auto"/>
        <w:rPr>
          <w:rStyle w:val="11"/>
          <w:rFonts w:ascii="Times New Roman" w:hAnsi="Times New Roman" w:eastAsia="方正仿宋_GBK" w:cs="Times New Roman"/>
          <w:b w:val="0"/>
          <w:sz w:val="32"/>
          <w:szCs w:val="32"/>
          <w:shd w:val="clear" w:color="auto" w:fill="FFFF00"/>
        </w:rPr>
      </w:pPr>
    </w:p>
    <w:bookmarkEnd w:id="0"/>
    <w:sectPr>
      <w:headerReference r:id="rId3" w:type="default"/>
      <w:footerReference r:id="rId4" w:type="default"/>
      <w:pgSz w:w="11850" w:h="16783"/>
      <w:pgMar w:top="2098" w:right="1474" w:bottom="1985" w:left="1588" w:header="0"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C3CC8"/>
    <w:rsid w:val="00195758"/>
    <w:rsid w:val="00203E4C"/>
    <w:rsid w:val="002B3FC5"/>
    <w:rsid w:val="004106E1"/>
    <w:rsid w:val="00456242"/>
    <w:rsid w:val="00550ABE"/>
    <w:rsid w:val="005B7186"/>
    <w:rsid w:val="005D6B1F"/>
    <w:rsid w:val="0073354F"/>
    <w:rsid w:val="007B2889"/>
    <w:rsid w:val="007B419D"/>
    <w:rsid w:val="00814B67"/>
    <w:rsid w:val="009472D9"/>
    <w:rsid w:val="009475CD"/>
    <w:rsid w:val="009B67B8"/>
    <w:rsid w:val="009E23BB"/>
    <w:rsid w:val="00A14F0A"/>
    <w:rsid w:val="00B03CCD"/>
    <w:rsid w:val="00B17C6E"/>
    <w:rsid w:val="00C443FA"/>
    <w:rsid w:val="00E40D1C"/>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7FFF6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746</Words>
  <Characters>4257</Characters>
  <Lines>35</Lines>
  <Paragraphs>9</Paragraphs>
  <TotalTime>76</TotalTime>
  <ScaleCrop>false</ScaleCrop>
  <LinksUpToDate>false</LinksUpToDate>
  <CharactersWithSpaces>4994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tlww</cp:lastModifiedBy>
  <dcterms:modified xsi:type="dcterms:W3CDTF">2025-10-28T16:45:18Z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9EDAFD8FD9424A54844071572B3E9A06_13</vt:lpwstr>
  </property>
</Properties>
</file>