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4" w:lineRule="exact"/>
        <w:ind w:firstLine="880" w:firstLineChars="200"/>
        <w:jc w:val="center"/>
        <w:textAlignment w:val="auto"/>
        <w:rPr>
          <w:rFonts w:ascii="Times New Roman" w:hAnsi="Times New Roman" w:eastAsia="方正小标宋_GBK" w:cs="方正小标宋_GBK"/>
          <w:b w:val="0"/>
          <w:bCs w:val="0"/>
          <w:color w:val="auto"/>
          <w:sz w:val="44"/>
          <w:szCs w:val="44"/>
        </w:rPr>
      </w:pPr>
      <w:r>
        <w:rPr>
          <w:rFonts w:ascii="Times New Roman" w:hAnsi="Times New Roman" w:eastAsia="方正小标宋_GBK" w:cs="方正小标宋_GBK"/>
          <w:b w:val="0"/>
          <w:bCs w:val="0"/>
          <w:color w:val="auto"/>
          <w:sz w:val="44"/>
          <w:szCs w:val="44"/>
        </w:rPr>
        <w:t>重庆市铜梁区维新镇文化服务中心</w:t>
      </w:r>
    </w:p>
    <w:p>
      <w:pPr>
        <w:pStyle w:val="5"/>
        <w:keepNext w:val="0"/>
        <w:keepLines w:val="0"/>
        <w:pageBreakBefore w:val="0"/>
        <w:widowControl/>
        <w:kinsoku/>
        <w:wordWrap/>
        <w:overflowPunct/>
        <w:topLinePunct w:val="0"/>
        <w:autoSpaceDN/>
        <w:bidi w:val="0"/>
        <w:adjustRightInd/>
        <w:spacing w:before="0" w:beforeAutospacing="0" w:after="0" w:afterAutospacing="0" w:line="594" w:lineRule="exact"/>
        <w:ind w:firstLine="880" w:firstLineChars="200"/>
        <w:jc w:val="center"/>
        <w:textAlignment w:val="auto"/>
        <w:rPr>
          <w:rFonts w:hint="default" w:ascii="Times New Roman" w:hAnsi="Times New Roman" w:eastAsia="方正小标宋_GBK" w:cs="方正小标宋_GBK"/>
          <w:b w:val="0"/>
          <w:bCs w:val="0"/>
          <w:color w:val="auto"/>
          <w:sz w:val="44"/>
          <w:szCs w:val="44"/>
          <w:shd w:val="clear" w:color="auto" w:fill="FFFFFF"/>
        </w:rPr>
      </w:pPr>
      <w:r>
        <w:rPr>
          <w:rFonts w:hint="default" w:ascii="Times New Roman" w:hAnsi="Times New Roman" w:eastAsia="方正小标宋_GBK" w:cs="Times New Roman"/>
          <w:b w:val="0"/>
          <w:bCs w:val="0"/>
          <w:color w:val="auto"/>
          <w:sz w:val="44"/>
          <w:szCs w:val="44"/>
          <w:shd w:val="clear" w:color="auto" w:fill="FFFFFF"/>
        </w:rPr>
        <w:t>2024</w:t>
      </w:r>
      <w:r>
        <w:rPr>
          <w:rFonts w:ascii="Times New Roman" w:hAnsi="Times New Roman" w:eastAsia="方正小标宋_GBK" w:cs="方正小标宋_GBK"/>
          <w:b w:val="0"/>
          <w:bCs w:val="0"/>
          <w:color w:val="auto"/>
          <w:sz w:val="44"/>
          <w:szCs w:val="44"/>
          <w:shd w:val="clear" w:color="auto" w:fill="FFFFFF"/>
        </w:rPr>
        <w:t>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540" w:firstLineChars="200"/>
        <w:textAlignment w:val="auto"/>
        <w:rPr>
          <w:rFonts w:hint="default" w:ascii="Times New Roman" w:hAnsi="Times New Roman"/>
          <w:b w:val="0"/>
          <w:bCs w:val="0"/>
          <w:color w:val="auto"/>
          <w:sz w:val="27"/>
          <w:szCs w:val="27"/>
          <w:shd w:val="clear" w:color="auto" w:fill="FFFF00"/>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eastAsia" w:ascii="Times New Roman" w:hAnsi="Times New Roman" w:eastAsia="方正黑体_GBK" w:cs="方正黑体_GBK"/>
          <w:b w:val="0"/>
          <w:bCs w:val="0"/>
          <w:color w:val="auto"/>
          <w:sz w:val="32"/>
          <w:szCs w:val="32"/>
          <w:shd w:val="clear" w:color="auto" w:fill="FFFFFF"/>
        </w:rPr>
      </w:pPr>
      <w:r>
        <w:rPr>
          <w:rStyle w:val="7"/>
          <w:rFonts w:hint="eastAsia" w:ascii="Times New Roman" w:hAnsi="Times New Roman" w:eastAsia="方正黑体_GBK" w:cs="方正黑体_GBK"/>
          <w:b w:val="0"/>
          <w:bCs w:val="0"/>
          <w:color w:val="auto"/>
          <w:sz w:val="32"/>
          <w:szCs w:val="32"/>
          <w:shd w:val="clear" w:color="auto" w:fill="FFFFFF"/>
        </w:rPr>
        <w:t>一、</w:t>
      </w:r>
      <w:r>
        <w:rPr>
          <w:rStyle w:val="7"/>
          <w:rFonts w:hint="eastAsia" w:ascii="Times New Roman" w:hAnsi="Times New Roman" w:eastAsia="方正黑体_GBK" w:cs="方正黑体_GBK"/>
          <w:b w:val="0"/>
          <w:bCs w:val="0"/>
          <w:color w:val="auto"/>
          <w:sz w:val="32"/>
          <w:szCs w:val="32"/>
          <w:shd w:val="clear" w:color="auto" w:fill="FFFFFF"/>
          <w:lang w:eastAsia="zh-CN"/>
        </w:rPr>
        <w:t>单位</w:t>
      </w:r>
      <w:r>
        <w:rPr>
          <w:rStyle w:val="7"/>
          <w:rFonts w:hint="eastAsia" w:ascii="Times New Roman" w:hAnsi="Times New Roman" w:eastAsia="方正黑体_GBK" w:cs="方正黑体_GBK"/>
          <w:b w:val="0"/>
          <w:bCs w:val="0"/>
          <w:color w:val="auto"/>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楷体" w:cs="楷体"/>
          <w:b w:val="0"/>
          <w:bCs w:val="0"/>
          <w:color w:val="auto"/>
          <w:sz w:val="32"/>
          <w:szCs w:val="32"/>
          <w:shd w:val="clear" w:color="auto" w:fill="FFFFFF"/>
        </w:rPr>
        <w:t>（一）职能职责</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shd w:val="clear" w:color="auto" w:fill="FFFFFF"/>
          <w:lang w:eastAsia="zh-CN"/>
        </w:rPr>
        <w:t>主要职责任务是承担文化旅游、宣传、广播电视、体育、科技培训等方面服务工作，管理农村文艺演出活动和文化市场，非物质文化遗产搜集、整理等，完成主管部门交办的其他任务。</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楷体" w:cs="楷体"/>
          <w:b w:val="0"/>
          <w:bCs w:val="0"/>
          <w:color w:val="auto"/>
          <w:sz w:val="32"/>
          <w:szCs w:val="32"/>
        </w:rPr>
      </w:pPr>
      <w:r>
        <w:rPr>
          <w:rStyle w:val="7"/>
          <w:rFonts w:ascii="Times New Roman" w:hAnsi="Times New Roman" w:eastAsia="楷体" w:cs="楷体"/>
          <w:b w:val="0"/>
          <w:bCs w:val="0"/>
          <w:color w:val="auto"/>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sz w:val="32"/>
          <w:szCs w:val="32"/>
          <w:shd w:val="clear" w:color="auto" w:fill="FFFFFF"/>
          <w:lang w:val="en-US" w:eastAsia="zh-CN"/>
        </w:rPr>
      </w:pPr>
      <w:r>
        <w:rPr>
          <w:rFonts w:hint="eastAsia" w:ascii="Times New Roman" w:hAnsi="Times New Roman" w:eastAsia="方正仿宋_GBK" w:cs="方正仿宋_GBK"/>
          <w:b w:val="0"/>
          <w:bCs w:val="0"/>
          <w:color w:val="auto"/>
          <w:sz w:val="32"/>
          <w:szCs w:val="32"/>
          <w:shd w:val="clear" w:color="auto" w:fill="FFFFFF"/>
          <w:lang w:eastAsia="zh-CN"/>
        </w:rPr>
        <w:t>重庆市铜梁区维新镇文化服务中心设主任</w:t>
      </w:r>
      <w:r>
        <w:rPr>
          <w:rFonts w:hint="eastAsia" w:ascii="Times New Roman" w:hAnsi="Times New Roman" w:eastAsia="方正仿宋_GBK" w:cs="方正仿宋_GBK"/>
          <w:b w:val="0"/>
          <w:bCs w:val="0"/>
          <w:color w:val="auto"/>
          <w:sz w:val="32"/>
          <w:szCs w:val="32"/>
          <w:shd w:val="clear" w:color="auto" w:fill="FFFFFF"/>
          <w:lang w:val="en-US" w:eastAsia="zh-CN"/>
        </w:rPr>
        <w:t>1名，其宗旨是组织群众文化活动，繁荣群众文化事业。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default" w:ascii="Times New Roman" w:hAnsi="Times New Roman" w:eastAsia="方正黑体_GBK" w:cs="方正黑体_GBK"/>
          <w:b w:val="0"/>
          <w:bCs w:val="0"/>
          <w:color w:val="auto"/>
          <w:sz w:val="32"/>
          <w:szCs w:val="32"/>
          <w:shd w:val="clear" w:color="auto" w:fill="FFFFFF"/>
        </w:rPr>
      </w:pPr>
      <w:r>
        <w:rPr>
          <w:rStyle w:val="7"/>
          <w:rFonts w:hint="eastAsia" w:ascii="Times New Roman" w:hAnsi="Times New Roman" w:eastAsia="方正黑体_GBK" w:cs="方正黑体_GBK"/>
          <w:b w:val="0"/>
          <w:bCs w:val="0"/>
          <w:color w:val="auto"/>
          <w:sz w:val="32"/>
          <w:szCs w:val="32"/>
          <w:shd w:val="clear" w:color="auto" w:fill="FFFFFF"/>
        </w:rPr>
        <w:t>二、</w:t>
      </w:r>
      <w:r>
        <w:rPr>
          <w:rStyle w:val="7"/>
          <w:rFonts w:hint="eastAsia" w:ascii="Times New Roman" w:hAnsi="Times New Roman" w:eastAsia="方正黑体_GBK" w:cs="方正黑体_GBK"/>
          <w:b w:val="0"/>
          <w:bCs w:val="0"/>
          <w:color w:val="auto"/>
          <w:sz w:val="32"/>
          <w:szCs w:val="32"/>
          <w:shd w:val="clear" w:color="auto" w:fill="FFFFFF"/>
          <w:lang w:eastAsia="zh-CN"/>
        </w:rPr>
        <w:t>单位</w:t>
      </w:r>
      <w:r>
        <w:rPr>
          <w:rStyle w:val="7"/>
          <w:rFonts w:hint="eastAsia" w:ascii="Times New Roman" w:hAnsi="Times New Roman" w:eastAsia="方正黑体_GBK" w:cs="方正黑体_GBK"/>
          <w:b w:val="0"/>
          <w:bCs w:val="0"/>
          <w:color w:val="auto"/>
          <w:sz w:val="32"/>
          <w:szCs w:val="32"/>
          <w:shd w:val="clear" w:color="auto" w:fill="FFFFFF"/>
        </w:rPr>
        <w:t>决算</w:t>
      </w:r>
      <w:r>
        <w:rPr>
          <w:rStyle w:val="7"/>
          <w:rFonts w:hint="eastAsia" w:ascii="Times New Roman" w:hAnsi="Times New Roman" w:eastAsia="方正黑体_GBK" w:cs="方正黑体_GBK"/>
          <w:b w:val="0"/>
          <w:bCs w:val="0"/>
          <w:color w:val="auto"/>
          <w:sz w:val="32"/>
          <w:szCs w:val="32"/>
          <w:shd w:val="clear" w:color="auto" w:fill="FFFFFF"/>
          <w:lang w:eastAsia="zh-CN"/>
        </w:rPr>
        <w:t>收支</w:t>
      </w:r>
      <w:r>
        <w:rPr>
          <w:rStyle w:val="7"/>
          <w:rFonts w:hint="eastAsia" w:ascii="Times New Roman" w:hAnsi="Times New Roman" w:eastAsia="方正黑体_GBK" w:cs="方正黑体_GBK"/>
          <w:b w:val="0"/>
          <w:bCs w:val="0"/>
          <w:color w:val="auto"/>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1.总体情况。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度收入总计87.57万元，支出总计</w:t>
      </w:r>
      <w:r>
        <w:rPr>
          <w:rFonts w:ascii="Times New Roman" w:hAnsi="Times New Roman" w:eastAsia="方正仿宋_GBK" w:cs="方正仿宋_GBK"/>
          <w:b w:val="0"/>
          <w:bCs w:val="0"/>
          <w:color w:val="auto"/>
          <w:sz w:val="32"/>
          <w:szCs w:val="32"/>
        </w:rPr>
        <w:t>87.57</w:t>
      </w:r>
      <w:r>
        <w:rPr>
          <w:rFonts w:ascii="Times New Roman" w:hAnsi="Times New Roman" w:eastAsia="方正仿宋_GBK" w:cs="方正仿宋_GBK"/>
          <w:b w:val="0"/>
          <w:bCs w:val="0"/>
          <w:color w:val="auto"/>
          <w:sz w:val="32"/>
          <w:szCs w:val="32"/>
          <w:shd w:val="clear" w:color="auto" w:fill="FFFFFF"/>
        </w:rPr>
        <w:t>万元。收、支与2023年度相比，增加87.57万元，增长100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Style w:val="7"/>
          <w:rFonts w:ascii="Times New Roman" w:hAnsi="Times New Roman" w:eastAsia="方正仿宋_GBK" w:cs="方正仿宋_GBK"/>
          <w:b w:val="0"/>
          <w:bCs w:val="0"/>
          <w:color w:val="auto"/>
          <w:sz w:val="32"/>
          <w:szCs w:val="32"/>
          <w:shd w:val="clear" w:color="auto" w:fill="FFFFFF"/>
        </w:rPr>
        <w:t>2.收入情况。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度收入合计87.57万元，与2023年度相比，增加87.57万元，增长100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。其中：财政拨款收入</w:t>
      </w:r>
      <w:r>
        <w:rPr>
          <w:rFonts w:ascii="Times New Roman" w:hAnsi="Times New Roman" w:eastAsia="方正仿宋_GBK" w:cs="方正仿宋_GBK"/>
          <w:b w:val="0"/>
          <w:bCs w:val="0"/>
          <w:color w:val="auto"/>
          <w:sz w:val="32"/>
          <w:szCs w:val="32"/>
        </w:rPr>
        <w:t>87.57</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100</w:t>
      </w:r>
      <w:r>
        <w:rPr>
          <w:rFonts w:hint="eastAsia" w:ascii="Times New Roman" w:hAnsi="Times New Roman" w:eastAsia="方正仿宋_GBK" w:cs="方正仿宋_GBK"/>
          <w:b w:val="0"/>
          <w:bCs w:val="0"/>
          <w:color w:val="auto"/>
          <w:sz w:val="32"/>
          <w:szCs w:val="32"/>
          <w:lang w:val="en-US" w:eastAsia="zh-CN"/>
        </w:rPr>
        <w:t>.0</w:t>
      </w:r>
      <w:r>
        <w:rPr>
          <w:rFonts w:ascii="Times New Roman" w:hAnsi="Times New Roman" w:eastAsia="方正仿宋_GBK" w:cs="方正仿宋_GBK"/>
          <w:b w:val="0"/>
          <w:bCs w:val="0"/>
          <w:color w:val="auto"/>
          <w:sz w:val="32"/>
          <w:szCs w:val="32"/>
          <w:shd w:val="clear" w:color="auto" w:fill="FFFFFF"/>
        </w:rPr>
        <w:t>%；事业收入</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万元，占0%；经营收入</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万元，占0%；其他收入</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万元，占0%。此外，使用非财政拨款结余和专用结余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万元，年初结转和结余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Style w:val="7"/>
          <w:rFonts w:ascii="Times New Roman" w:hAnsi="Times New Roman" w:eastAsia="方正仿宋_GBK" w:cs="方正仿宋_GBK"/>
          <w:b w:val="0"/>
          <w:bCs w:val="0"/>
          <w:color w:val="auto"/>
          <w:sz w:val="32"/>
          <w:szCs w:val="32"/>
          <w:shd w:val="clear" w:color="auto" w:fill="FFFFFF"/>
        </w:rPr>
        <w:t>3.支出情况。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度支出合计</w:t>
      </w:r>
      <w:r>
        <w:rPr>
          <w:rFonts w:ascii="Times New Roman" w:hAnsi="Times New Roman" w:eastAsia="方正仿宋_GBK" w:cs="方正仿宋_GBK"/>
          <w:b w:val="0"/>
          <w:bCs w:val="0"/>
          <w:color w:val="auto"/>
          <w:sz w:val="32"/>
          <w:szCs w:val="32"/>
        </w:rPr>
        <w:t>87.57</w:t>
      </w:r>
      <w:r>
        <w:rPr>
          <w:rFonts w:ascii="Times New Roman" w:hAnsi="Times New Roman" w:eastAsia="方正仿宋_GBK" w:cs="方正仿宋_GBK"/>
          <w:b w:val="0"/>
          <w:bCs w:val="0"/>
          <w:color w:val="auto"/>
          <w:sz w:val="32"/>
          <w:szCs w:val="32"/>
          <w:shd w:val="clear" w:color="auto" w:fill="FFFFFF"/>
        </w:rPr>
        <w:t>万元，与2023年度相比，增加87.57万元，增长100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。其中：基本支出</w:t>
      </w:r>
      <w:r>
        <w:rPr>
          <w:rFonts w:ascii="Times New Roman" w:hAnsi="Times New Roman" w:eastAsia="方正仿宋_GBK" w:cs="方正仿宋_GBK"/>
          <w:b w:val="0"/>
          <w:bCs w:val="0"/>
          <w:color w:val="auto"/>
          <w:sz w:val="32"/>
          <w:szCs w:val="32"/>
        </w:rPr>
        <w:t>68.48</w:t>
      </w:r>
      <w:r>
        <w:rPr>
          <w:rFonts w:ascii="Times New Roman" w:hAnsi="Times New Roman" w:eastAsia="方正仿宋_GBK" w:cs="方正仿宋_GBK"/>
          <w:b w:val="0"/>
          <w:bCs w:val="0"/>
          <w:color w:val="auto"/>
          <w:sz w:val="32"/>
          <w:szCs w:val="32"/>
          <w:shd w:val="clear" w:color="auto" w:fill="FFFFFF"/>
        </w:rPr>
        <w:t>万元，占78.19%；项目支出</w:t>
      </w:r>
      <w:r>
        <w:rPr>
          <w:rFonts w:ascii="Times New Roman" w:hAnsi="Times New Roman" w:eastAsia="方正仿宋_GBK" w:cs="方正仿宋_GBK"/>
          <w:b w:val="0"/>
          <w:bCs w:val="0"/>
          <w:color w:val="auto"/>
          <w:sz w:val="32"/>
          <w:szCs w:val="32"/>
        </w:rPr>
        <w:t>19.10</w:t>
      </w:r>
      <w:r>
        <w:rPr>
          <w:rFonts w:ascii="Times New Roman" w:hAnsi="Times New Roman" w:eastAsia="方正仿宋_GBK" w:cs="方正仿宋_GBK"/>
          <w:b w:val="0"/>
          <w:bCs w:val="0"/>
          <w:color w:val="auto"/>
          <w:sz w:val="32"/>
          <w:szCs w:val="32"/>
          <w:shd w:val="clear" w:color="auto" w:fill="FFFFFF"/>
        </w:rPr>
        <w:t>万元，占21.8%；经营支出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万元，占0%。此外，结余分配</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4.结转结余情况。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度年末结转和结余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万元，与2023年度相比，无增减，主要原因是</w:t>
      </w:r>
      <w:r>
        <w:rPr>
          <w:rFonts w:hint="eastAsia" w:ascii="Times New Roman" w:hAnsi="Times New Roman" w:eastAsia="方正仿宋_GBK" w:cs="方正仿宋_GBK"/>
          <w:b w:val="0"/>
          <w:bCs w:val="0"/>
          <w:color w:val="auto"/>
          <w:sz w:val="32"/>
          <w:szCs w:val="32"/>
          <w:shd w:val="clear" w:color="auto" w:fill="FFFFFF"/>
          <w:lang w:eastAsia="zh-CN"/>
        </w:rPr>
        <w:t>本年度无年末结转和结余</w:t>
      </w:r>
      <w:r>
        <w:rPr>
          <w:rFonts w:ascii="Times New Roman" w:hAnsi="Times New Roman" w:eastAsia="方正仿宋_GBK" w:cs="方正仿宋_GBK"/>
          <w:b w:val="0"/>
          <w:bCs w:val="0"/>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度财政拨款收、支总计87.57万元。与202</w:t>
      </w:r>
      <w:r>
        <w:rPr>
          <w:rFonts w:hint="eastAsia" w:ascii="Times New Roman" w:hAnsi="Times New Roman" w:eastAsia="方正仿宋_GBK" w:cs="方正仿宋_GBK"/>
          <w:b w:val="0"/>
          <w:bCs w:val="0"/>
          <w:color w:val="auto"/>
          <w:sz w:val="32"/>
          <w:szCs w:val="32"/>
          <w:shd w:val="clear" w:color="auto" w:fill="FFFFFF"/>
          <w:lang w:val="en-US" w:eastAsia="zh-CN"/>
        </w:rPr>
        <w:t>3</w:t>
      </w:r>
      <w:r>
        <w:rPr>
          <w:rFonts w:ascii="Times New Roman" w:hAnsi="Times New Roman" w:eastAsia="方正仿宋_GBK" w:cs="方正仿宋_GBK"/>
          <w:b w:val="0"/>
          <w:bCs w:val="0"/>
          <w:color w:val="auto"/>
          <w:sz w:val="32"/>
          <w:szCs w:val="32"/>
          <w:shd w:val="clear" w:color="auto" w:fill="FFFFFF"/>
        </w:rPr>
        <w:t>年相比，财政拨款收、支总计各增加87.57万元，增长100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1.收入情况。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度一般公共预算财政拨款收入</w:t>
      </w:r>
      <w:r>
        <w:rPr>
          <w:rFonts w:ascii="Times New Roman" w:hAnsi="Times New Roman" w:eastAsia="方正仿宋_GBK" w:cs="方正仿宋_GBK"/>
          <w:b w:val="0"/>
          <w:bCs w:val="0"/>
          <w:color w:val="auto"/>
          <w:sz w:val="32"/>
          <w:szCs w:val="32"/>
        </w:rPr>
        <w:t>87.57</w:t>
      </w:r>
      <w:r>
        <w:rPr>
          <w:rFonts w:ascii="Times New Roman" w:hAnsi="Times New Roman" w:eastAsia="方正仿宋_GBK" w:cs="方正仿宋_GBK"/>
          <w:b w:val="0"/>
          <w:bCs w:val="0"/>
          <w:color w:val="auto"/>
          <w:sz w:val="32"/>
          <w:szCs w:val="32"/>
          <w:shd w:val="clear" w:color="auto" w:fill="FFFFFF"/>
        </w:rPr>
        <w:t>万元，与2023年度相比，增加87.57万元，增长100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。较年初预算数减少18.6万元，下降17.5%。主要原因是</w:t>
      </w:r>
      <w:r>
        <w:rPr>
          <w:rFonts w:hint="eastAsia" w:ascii="Times New Roman" w:hAnsi="Times New Roman" w:eastAsia="方正仿宋_GBK" w:cs="方正仿宋_GBK"/>
          <w:b w:val="0"/>
          <w:bCs w:val="0"/>
          <w:color w:val="auto"/>
          <w:sz w:val="32"/>
          <w:szCs w:val="32"/>
          <w:shd w:val="clear" w:color="auto" w:fill="FFFFFF"/>
          <w:lang w:eastAsia="zh-CN"/>
        </w:rPr>
        <w:t>本年项目支出减少</w:t>
      </w:r>
      <w:r>
        <w:rPr>
          <w:rFonts w:ascii="Times New Roman" w:hAnsi="Times New Roman" w:eastAsia="方正仿宋_GBK" w:cs="方正仿宋_GBK"/>
          <w:b w:val="0"/>
          <w:bCs w:val="0"/>
          <w:color w:val="auto"/>
          <w:sz w:val="32"/>
          <w:szCs w:val="32"/>
          <w:shd w:val="clear" w:color="auto" w:fill="FFFFFF"/>
        </w:rPr>
        <w:t>。此外，年初财政拨款结转和结余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2.支出情况。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度一般公共预算财政拨款支出</w:t>
      </w:r>
      <w:r>
        <w:rPr>
          <w:rFonts w:ascii="Times New Roman" w:hAnsi="Times New Roman" w:eastAsia="方正仿宋_GBK" w:cs="方正仿宋_GBK"/>
          <w:b w:val="0"/>
          <w:bCs w:val="0"/>
          <w:color w:val="auto"/>
          <w:sz w:val="32"/>
          <w:szCs w:val="32"/>
        </w:rPr>
        <w:t>87.57</w:t>
      </w:r>
      <w:r>
        <w:rPr>
          <w:rFonts w:ascii="Times New Roman" w:hAnsi="Times New Roman" w:eastAsia="方正仿宋_GBK" w:cs="方正仿宋_GBK"/>
          <w:b w:val="0"/>
          <w:bCs w:val="0"/>
          <w:color w:val="auto"/>
          <w:sz w:val="32"/>
          <w:szCs w:val="32"/>
          <w:shd w:val="clear" w:color="auto" w:fill="FFFFFF"/>
        </w:rPr>
        <w:t>万元，与2023年度相比，增加87.57万元，增长100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。较年初预算数减少18.6万元，下降17.5%。主要原因是</w:t>
      </w:r>
      <w:r>
        <w:rPr>
          <w:rFonts w:hint="eastAsia" w:ascii="Times New Roman" w:hAnsi="Times New Roman" w:eastAsia="方正仿宋_GBK" w:cs="方正仿宋_GBK"/>
          <w:b w:val="0"/>
          <w:bCs w:val="0"/>
          <w:color w:val="auto"/>
          <w:sz w:val="32"/>
          <w:szCs w:val="32"/>
          <w:shd w:val="clear" w:color="auto" w:fill="FFFFFF"/>
          <w:lang w:eastAsia="zh-CN"/>
        </w:rPr>
        <w:t>本年项目支出减少</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3.结转结余情况。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度年末一般公共预算财政拨款结转和结余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万元，与2023年度相比，无增减，主要原因是</w:t>
      </w:r>
      <w:r>
        <w:rPr>
          <w:rFonts w:hint="eastAsia" w:ascii="Times New Roman" w:hAnsi="Times New Roman" w:eastAsia="方正仿宋_GBK" w:cs="方正仿宋_GBK"/>
          <w:b w:val="0"/>
          <w:bCs w:val="0"/>
          <w:color w:val="auto"/>
          <w:sz w:val="32"/>
          <w:szCs w:val="32"/>
          <w:shd w:val="clear" w:color="auto" w:fill="FFFFFF"/>
          <w:lang w:eastAsia="zh-CN"/>
        </w:rPr>
        <w:t>本年度无年末结转和结余。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highlight w:val="cyan"/>
          <w:shd w:val="clear" w:color="auto" w:fill="FFFFFF"/>
        </w:rPr>
      </w:pPr>
      <w:r>
        <w:rPr>
          <w:rStyle w:val="7"/>
          <w:rFonts w:ascii="Times New Roman" w:hAnsi="Times New Roman" w:eastAsia="方正仿宋_GBK" w:cs="方正仿宋_GBK"/>
          <w:b w:val="0"/>
          <w:bCs w:val="0"/>
          <w:color w:val="auto"/>
          <w:sz w:val="32"/>
          <w:szCs w:val="32"/>
          <w:shd w:val="clear" w:color="auto" w:fill="FFFFFF"/>
        </w:rPr>
        <w:t>4.比较情况。</w:t>
      </w:r>
      <w:r>
        <w:rPr>
          <w:rFonts w:ascii="Times New Roman" w:hAnsi="Times New Roman" w:eastAsia="方正仿宋_GBK" w:cs="方正仿宋_GBK"/>
          <w:b w:val="0"/>
          <w:bCs w:val="0"/>
          <w:color w:val="auto"/>
          <w:sz w:val="32"/>
          <w:szCs w:val="32"/>
          <w:shd w:val="clear" w:color="auto" w:fill="FFFFFF"/>
        </w:rPr>
        <w:t>本单位</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（1）文化旅游体育与传媒支出</w:t>
      </w:r>
      <w:r>
        <w:rPr>
          <w:rFonts w:ascii="Times New Roman" w:hAnsi="Times New Roman" w:eastAsia="方正仿宋_GBK" w:cs="方正仿宋_GBK"/>
          <w:b w:val="0"/>
          <w:bCs w:val="0"/>
          <w:color w:val="auto"/>
          <w:sz w:val="32"/>
          <w:szCs w:val="32"/>
        </w:rPr>
        <w:t>67.22</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76.</w:t>
      </w:r>
      <w:r>
        <w:rPr>
          <w:rFonts w:hint="eastAsia" w:ascii="Times New Roman" w:hAnsi="Times New Roman" w:eastAsia="方正仿宋_GBK" w:cs="方正仿宋_GBK"/>
          <w:b w:val="0"/>
          <w:bCs w:val="0"/>
          <w:color w:val="auto"/>
          <w:sz w:val="32"/>
          <w:szCs w:val="32"/>
          <w:lang w:val="en-US" w:eastAsia="zh-CN"/>
        </w:rPr>
        <w:t>8</w:t>
      </w:r>
      <w:r>
        <w:rPr>
          <w:rFonts w:ascii="Times New Roman" w:hAnsi="Times New Roman" w:eastAsia="方正仿宋_GBK" w:cs="方正仿宋_GBK"/>
          <w:b w:val="0"/>
          <w:bCs w:val="0"/>
          <w:color w:val="auto"/>
          <w:sz w:val="32"/>
          <w:szCs w:val="32"/>
          <w:shd w:val="clear" w:color="auto" w:fill="FFFFFF"/>
        </w:rPr>
        <w:t>%，较年初预算数增加13.14万元，增长24.3%，主要原因是</w:t>
      </w:r>
      <w:r>
        <w:rPr>
          <w:rFonts w:hint="eastAsia" w:ascii="Times New Roman" w:hAnsi="Times New Roman" w:eastAsia="方正仿宋_GBK" w:cs="方正仿宋_GBK"/>
          <w:b w:val="0"/>
          <w:bCs w:val="0"/>
          <w:color w:val="auto"/>
          <w:sz w:val="32"/>
          <w:szCs w:val="32"/>
          <w:shd w:val="clear" w:color="auto" w:fill="FFFFFF"/>
          <w:lang w:eastAsia="zh-CN"/>
        </w:rPr>
        <w:t>项目支出增加</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w:t>
      </w:r>
      <w:r>
        <w:rPr>
          <w:rFonts w:hint="eastAsia" w:ascii="Times New Roman" w:hAnsi="Times New Roman" w:eastAsia="方正仿宋_GBK" w:cs="方正仿宋_GBK"/>
          <w:b w:val="0"/>
          <w:bCs w:val="0"/>
          <w:color w:val="auto"/>
          <w:sz w:val="32"/>
          <w:szCs w:val="32"/>
          <w:shd w:val="clear" w:color="auto" w:fill="FFFFFF"/>
          <w:lang w:val="en-US" w:eastAsia="zh-CN"/>
        </w:rPr>
        <w:t>2</w:t>
      </w:r>
      <w:r>
        <w:rPr>
          <w:rFonts w:ascii="Times New Roman" w:hAnsi="Times New Roman" w:eastAsia="方正仿宋_GBK" w:cs="方正仿宋_GBK"/>
          <w:b w:val="0"/>
          <w:bCs w:val="0"/>
          <w:color w:val="auto"/>
          <w:sz w:val="32"/>
          <w:szCs w:val="32"/>
          <w:shd w:val="clear" w:color="auto" w:fill="FFFFFF"/>
        </w:rPr>
        <w:t>）社会保障与就业支出</w:t>
      </w:r>
      <w:r>
        <w:rPr>
          <w:rFonts w:ascii="Times New Roman" w:hAnsi="Times New Roman" w:eastAsia="方正仿宋_GBK" w:cs="方正仿宋_GBK"/>
          <w:b w:val="0"/>
          <w:bCs w:val="0"/>
          <w:color w:val="auto"/>
          <w:sz w:val="32"/>
          <w:szCs w:val="32"/>
        </w:rPr>
        <w:t>16.11</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18.</w:t>
      </w:r>
      <w:r>
        <w:rPr>
          <w:rFonts w:hint="eastAsia" w:ascii="Times New Roman" w:hAnsi="Times New Roman" w:eastAsia="方正仿宋_GBK" w:cs="方正仿宋_GBK"/>
          <w:b w:val="0"/>
          <w:bCs w:val="0"/>
          <w:color w:val="auto"/>
          <w:sz w:val="32"/>
          <w:szCs w:val="32"/>
          <w:lang w:val="en-US" w:eastAsia="zh-CN"/>
        </w:rPr>
        <w:t>4</w:t>
      </w:r>
      <w:r>
        <w:rPr>
          <w:rFonts w:ascii="Times New Roman" w:hAnsi="Times New Roman" w:eastAsia="方正仿宋_GBK" w:cs="方正仿宋_GBK"/>
          <w:b w:val="0"/>
          <w:bCs w:val="0"/>
          <w:color w:val="auto"/>
          <w:sz w:val="32"/>
          <w:szCs w:val="32"/>
          <w:shd w:val="clear" w:color="auto" w:fill="FFFFFF"/>
        </w:rPr>
        <w:t>%，较年初预算数减少0.54万元，下降3.2%，主要原因是</w:t>
      </w:r>
      <w:r>
        <w:rPr>
          <w:rFonts w:hint="eastAsia" w:ascii="Times New Roman" w:hAnsi="Times New Roman" w:eastAsia="方正仿宋_GBK" w:cs="方正仿宋_GBK"/>
          <w:b w:val="0"/>
          <w:bCs w:val="0"/>
          <w:color w:val="auto"/>
          <w:sz w:val="32"/>
          <w:szCs w:val="32"/>
          <w:shd w:val="clear" w:color="auto" w:fill="FFFFFF"/>
          <w:lang w:eastAsia="zh-CN"/>
        </w:rPr>
        <w:t>本年事业单位社保缴纳金额不足，各单位互相垫支</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Fonts w:ascii="Times New Roman" w:hAnsi="Times New Roman" w:eastAsia="方正仿宋_GBK" w:cs="方正仿宋_GBK"/>
          <w:b w:val="0"/>
          <w:bCs w:val="0"/>
          <w:color w:val="auto"/>
          <w:sz w:val="32"/>
          <w:szCs w:val="32"/>
          <w:shd w:val="clear" w:color="auto" w:fill="FFFFFF"/>
        </w:rPr>
        <w:t>（</w:t>
      </w:r>
      <w:r>
        <w:rPr>
          <w:rFonts w:hint="eastAsia" w:ascii="Times New Roman" w:hAnsi="Times New Roman" w:eastAsia="方正仿宋_GBK" w:cs="方正仿宋_GBK"/>
          <w:b w:val="0"/>
          <w:bCs w:val="0"/>
          <w:color w:val="auto"/>
          <w:sz w:val="32"/>
          <w:szCs w:val="32"/>
          <w:shd w:val="clear" w:color="auto" w:fill="FFFFFF"/>
          <w:lang w:val="en-US" w:eastAsia="zh-CN"/>
        </w:rPr>
        <w:t>3</w:t>
      </w:r>
      <w:r>
        <w:rPr>
          <w:rFonts w:ascii="Times New Roman" w:hAnsi="Times New Roman" w:eastAsia="方正仿宋_GBK" w:cs="方正仿宋_GBK"/>
          <w:b w:val="0"/>
          <w:bCs w:val="0"/>
          <w:color w:val="auto"/>
          <w:sz w:val="32"/>
          <w:szCs w:val="32"/>
          <w:shd w:val="clear" w:color="auto" w:fill="FFFFFF"/>
        </w:rPr>
        <w:t>）卫生健康支出</w:t>
      </w:r>
      <w:r>
        <w:rPr>
          <w:rFonts w:ascii="Times New Roman" w:hAnsi="Times New Roman" w:eastAsia="方正仿宋_GBK" w:cs="方正仿宋_GBK"/>
          <w:b w:val="0"/>
          <w:bCs w:val="0"/>
          <w:color w:val="auto"/>
          <w:sz w:val="32"/>
          <w:szCs w:val="32"/>
        </w:rPr>
        <w:t>2.34</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2.</w:t>
      </w:r>
      <w:r>
        <w:rPr>
          <w:rFonts w:hint="eastAsia" w:ascii="Times New Roman" w:hAnsi="Times New Roman" w:eastAsia="方正仿宋_GBK" w:cs="方正仿宋_GBK"/>
          <w:b w:val="0"/>
          <w:bCs w:val="0"/>
          <w:color w:val="auto"/>
          <w:sz w:val="32"/>
          <w:szCs w:val="32"/>
          <w:lang w:val="en-US" w:eastAsia="zh-CN"/>
        </w:rPr>
        <w:t>7</w:t>
      </w:r>
      <w:r>
        <w:rPr>
          <w:rFonts w:ascii="Times New Roman" w:hAnsi="Times New Roman" w:eastAsia="方正仿宋_GBK" w:cs="方正仿宋_GBK"/>
          <w:b w:val="0"/>
          <w:bCs w:val="0"/>
          <w:color w:val="auto"/>
          <w:sz w:val="32"/>
          <w:szCs w:val="32"/>
          <w:shd w:val="clear" w:color="auto" w:fill="FFFFFF"/>
        </w:rPr>
        <w:t>%，较年初预算数减少0.77万元，下降24.8%，主要原因是</w:t>
      </w:r>
      <w:r>
        <w:rPr>
          <w:rFonts w:hint="eastAsia" w:ascii="Times New Roman" w:hAnsi="Times New Roman" w:eastAsia="方正仿宋_GBK" w:cs="方正仿宋_GBK"/>
          <w:b w:val="0"/>
          <w:bCs w:val="0"/>
          <w:color w:val="auto"/>
          <w:sz w:val="32"/>
          <w:szCs w:val="32"/>
          <w:shd w:val="clear" w:color="auto" w:fill="FFFFFF"/>
          <w:lang w:eastAsia="zh-CN"/>
        </w:rPr>
        <w:t>本年事业单位社保缴纳金额不足，各单位互相垫支</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Fonts w:ascii="Times New Roman" w:hAnsi="Times New Roman" w:eastAsia="方正仿宋_GBK" w:cs="方正仿宋_GBK"/>
          <w:b w:val="0"/>
          <w:bCs w:val="0"/>
          <w:color w:val="auto"/>
          <w:sz w:val="32"/>
          <w:szCs w:val="32"/>
          <w:shd w:val="clear" w:color="auto" w:fill="FFFFFF"/>
        </w:rPr>
        <w:t>（</w:t>
      </w:r>
      <w:r>
        <w:rPr>
          <w:rFonts w:hint="eastAsia" w:ascii="Times New Roman" w:hAnsi="Times New Roman" w:eastAsia="方正仿宋_GBK" w:cs="方正仿宋_GBK"/>
          <w:b w:val="0"/>
          <w:bCs w:val="0"/>
          <w:color w:val="auto"/>
          <w:sz w:val="32"/>
          <w:szCs w:val="32"/>
          <w:shd w:val="clear" w:color="auto" w:fill="FFFFFF"/>
          <w:lang w:val="en-US" w:eastAsia="zh-CN"/>
        </w:rPr>
        <w:t>4</w:t>
      </w:r>
      <w:r>
        <w:rPr>
          <w:rFonts w:ascii="Times New Roman" w:hAnsi="Times New Roman" w:eastAsia="方正仿宋_GBK" w:cs="方正仿宋_GBK"/>
          <w:b w:val="0"/>
          <w:bCs w:val="0"/>
          <w:color w:val="auto"/>
          <w:sz w:val="32"/>
          <w:szCs w:val="32"/>
          <w:shd w:val="clear" w:color="auto" w:fill="FFFFFF"/>
        </w:rPr>
        <w:t>）</w:t>
      </w:r>
      <w:r>
        <w:rPr>
          <w:rFonts w:ascii="Times New Roman" w:hAnsi="Times New Roman" w:eastAsia="方正仿宋_GBK" w:cs="方正仿宋_GBK"/>
          <w:b w:val="0"/>
          <w:bCs w:val="0"/>
          <w:color w:val="auto"/>
          <w:sz w:val="32"/>
          <w:szCs w:val="32"/>
        </w:rPr>
        <w:t>住房保障支出1.91</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2.</w:t>
      </w:r>
      <w:r>
        <w:rPr>
          <w:rFonts w:hint="eastAsia" w:ascii="Times New Roman" w:hAnsi="Times New Roman" w:eastAsia="方正仿宋_GBK" w:cs="方正仿宋_GBK"/>
          <w:b w:val="0"/>
          <w:bCs w:val="0"/>
          <w:color w:val="auto"/>
          <w:sz w:val="32"/>
          <w:szCs w:val="32"/>
          <w:lang w:val="en-US" w:eastAsia="zh-CN"/>
        </w:rPr>
        <w:t>2</w:t>
      </w:r>
      <w:r>
        <w:rPr>
          <w:rFonts w:ascii="Times New Roman" w:hAnsi="Times New Roman" w:eastAsia="方正仿宋_GBK" w:cs="方正仿宋_GBK"/>
          <w:b w:val="0"/>
          <w:bCs w:val="0"/>
          <w:color w:val="auto"/>
          <w:sz w:val="32"/>
          <w:szCs w:val="32"/>
          <w:shd w:val="clear" w:color="auto" w:fill="FFFFFF"/>
        </w:rPr>
        <w:t>%，较年初预算数减少0.42万元，下降18%，主要原因是</w:t>
      </w:r>
      <w:r>
        <w:rPr>
          <w:rFonts w:hint="eastAsia" w:ascii="Times New Roman" w:hAnsi="Times New Roman" w:eastAsia="方正仿宋_GBK" w:cs="方正仿宋_GBK"/>
          <w:b w:val="0"/>
          <w:bCs w:val="0"/>
          <w:color w:val="auto"/>
          <w:sz w:val="32"/>
          <w:szCs w:val="32"/>
          <w:shd w:val="clear" w:color="auto" w:fill="FFFFFF"/>
          <w:lang w:eastAsia="zh-CN"/>
        </w:rPr>
        <w:t>本年事业单位社保及公积金缴纳金额不足，各单位互相垫支</w:t>
      </w:r>
      <w:r>
        <w:rPr>
          <w:rFonts w:ascii="Times New Roman" w:hAnsi="Times New Roman" w:eastAsia="方正仿宋_GBK" w:cs="方正仿宋_GBK"/>
          <w:b w:val="0"/>
          <w:bCs w:val="0"/>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度一般公共财政拨款基本支出</w:t>
      </w:r>
      <w:r>
        <w:rPr>
          <w:rFonts w:ascii="Times New Roman" w:hAnsi="Times New Roman" w:eastAsia="方正仿宋_GBK" w:cs="方正仿宋_GBK"/>
          <w:b w:val="0"/>
          <w:bCs w:val="0"/>
          <w:color w:val="auto"/>
          <w:sz w:val="32"/>
          <w:szCs w:val="32"/>
        </w:rPr>
        <w:t>68.48</w:t>
      </w:r>
      <w:r>
        <w:rPr>
          <w:rFonts w:ascii="Times New Roman" w:hAnsi="Times New Roman" w:eastAsia="方正仿宋_GBK" w:cs="方正仿宋_GBK"/>
          <w:b w:val="0"/>
          <w:bCs w:val="0"/>
          <w:color w:val="auto"/>
          <w:sz w:val="32"/>
          <w:szCs w:val="32"/>
          <w:shd w:val="clear" w:color="auto" w:fill="FFFFFF"/>
        </w:rPr>
        <w:t>万元。其中：人员经费</w:t>
      </w:r>
      <w:r>
        <w:rPr>
          <w:rFonts w:ascii="Times New Roman" w:hAnsi="Times New Roman" w:eastAsia="方正仿宋_GBK" w:cs="方正仿宋_GBK"/>
          <w:b w:val="0"/>
          <w:bCs w:val="0"/>
          <w:color w:val="auto"/>
          <w:sz w:val="32"/>
          <w:szCs w:val="32"/>
        </w:rPr>
        <w:t>60.33</w:t>
      </w:r>
      <w:r>
        <w:rPr>
          <w:rFonts w:ascii="Times New Roman" w:hAnsi="Times New Roman" w:eastAsia="方正仿宋_GBK" w:cs="方正仿宋_GBK"/>
          <w:b w:val="0"/>
          <w:bCs w:val="0"/>
          <w:color w:val="auto"/>
          <w:sz w:val="32"/>
          <w:szCs w:val="32"/>
          <w:shd w:val="clear" w:color="auto" w:fill="FFFFFF"/>
        </w:rPr>
        <w:t>万元，与2023年度相比，增加60.33万元，增长100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。人员经费用途主要包括</w:t>
      </w:r>
      <w:r>
        <w:rPr>
          <w:rFonts w:hint="eastAsia" w:ascii="Times New Roman" w:hAnsi="Times New Roman" w:eastAsia="方正仿宋_GBK" w:cs="方正仿宋_GBK"/>
          <w:b w:val="0"/>
          <w:bCs w:val="0"/>
          <w:color w:val="auto"/>
          <w:sz w:val="32"/>
          <w:szCs w:val="32"/>
          <w:shd w:val="clear" w:color="auto" w:fill="FFFFFF"/>
          <w:lang w:eastAsia="zh-CN"/>
        </w:rPr>
        <w:t>发放人员基本工资、津贴补贴、绩效工资、社保待遇等。</w:t>
      </w:r>
      <w:r>
        <w:rPr>
          <w:rFonts w:ascii="Times New Roman" w:hAnsi="Times New Roman" w:eastAsia="方正仿宋_GBK" w:cs="方正仿宋_GBK"/>
          <w:b w:val="0"/>
          <w:bCs w:val="0"/>
          <w:color w:val="auto"/>
          <w:sz w:val="32"/>
          <w:szCs w:val="32"/>
          <w:shd w:val="clear" w:color="auto" w:fill="FFFFFF"/>
        </w:rPr>
        <w:t>公用经费</w:t>
      </w:r>
      <w:r>
        <w:rPr>
          <w:rFonts w:ascii="Times New Roman" w:hAnsi="Times New Roman" w:eastAsia="方正仿宋_GBK" w:cs="方正仿宋_GBK"/>
          <w:b w:val="0"/>
          <w:bCs w:val="0"/>
          <w:color w:val="auto"/>
          <w:sz w:val="32"/>
          <w:szCs w:val="32"/>
        </w:rPr>
        <w:t>8.14</w:t>
      </w:r>
      <w:r>
        <w:rPr>
          <w:rFonts w:ascii="Times New Roman" w:hAnsi="Times New Roman" w:eastAsia="方正仿宋_GBK" w:cs="方正仿宋_GBK"/>
          <w:b w:val="0"/>
          <w:bCs w:val="0"/>
          <w:color w:val="auto"/>
          <w:sz w:val="32"/>
          <w:szCs w:val="32"/>
          <w:shd w:val="clear" w:color="auto" w:fill="FFFFFF"/>
        </w:rPr>
        <w:t>万元，与2023年度相比，增加8.14万元，增长100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。公用经费用途主要包括</w:t>
      </w:r>
      <w:r>
        <w:rPr>
          <w:rFonts w:hint="eastAsia" w:ascii="Times New Roman" w:hAnsi="Times New Roman" w:eastAsia="方正仿宋_GBK" w:cs="方正仿宋_GBK"/>
          <w:b w:val="0"/>
          <w:bCs w:val="0"/>
          <w:color w:val="auto"/>
          <w:sz w:val="32"/>
          <w:szCs w:val="32"/>
          <w:shd w:val="clear" w:color="auto" w:fill="FFFFFF"/>
          <w:lang w:eastAsia="zh-CN"/>
        </w:rPr>
        <w:t>开支办公经费、维修（护）费、委托业务费、工会经费、印刷费、水电费等</w:t>
      </w:r>
      <w:r>
        <w:rPr>
          <w:rFonts w:ascii="Times New Roman" w:hAnsi="Times New Roman" w:eastAsia="方正仿宋_GBK" w:cs="方正仿宋_GBK"/>
          <w:b w:val="0"/>
          <w:bCs w:val="0"/>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本单位</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Fonts w:ascii="Times New Roman" w:hAnsi="Times New Roman" w:eastAsia="方正仿宋_GBK" w:cs="方正仿宋_GBK"/>
          <w:b w:val="0"/>
          <w:bCs w:val="0"/>
          <w:color w:val="auto"/>
          <w:sz w:val="32"/>
          <w:szCs w:val="32"/>
          <w:shd w:val="clear" w:color="auto" w:fill="FFFFFF"/>
        </w:rPr>
        <w:t>本单位</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default" w:ascii="Times New Roman" w:hAnsi="Times New Roman" w:eastAsia="方正黑体_GBK" w:cs="方正黑体_GBK"/>
          <w:b w:val="0"/>
          <w:bCs w:val="0"/>
          <w:color w:val="auto"/>
          <w:sz w:val="32"/>
          <w:szCs w:val="32"/>
          <w:shd w:val="clear" w:color="auto" w:fill="FFFFFF"/>
        </w:rPr>
      </w:pPr>
      <w:r>
        <w:rPr>
          <w:rStyle w:val="7"/>
          <w:rFonts w:hint="eastAsia" w:ascii="Times New Roman" w:hAnsi="Times New Roman" w:eastAsia="方正黑体_GBK" w:cs="方正黑体_GBK"/>
          <w:b w:val="0"/>
          <w:bCs w:val="0"/>
          <w:color w:val="auto"/>
          <w:sz w:val="32"/>
          <w:szCs w:val="32"/>
          <w:shd w:val="clear" w:color="auto" w:fill="FFFFFF"/>
        </w:rPr>
        <w:t>三、</w:t>
      </w:r>
      <w:r>
        <w:rPr>
          <w:rStyle w:val="7"/>
          <w:rFonts w:hint="eastAsia" w:ascii="Times New Roman" w:hAnsi="Times New Roman" w:eastAsia="方正黑体_GBK" w:cs="方正黑体_GBK"/>
          <w:b w:val="0"/>
          <w:bCs w:val="0"/>
          <w:color w:val="auto"/>
          <w:sz w:val="32"/>
          <w:szCs w:val="32"/>
          <w:shd w:val="clear" w:color="auto" w:fill="FFFFFF"/>
          <w:lang w:eastAsia="zh-CN"/>
        </w:rPr>
        <w:t>财政拨款</w:t>
      </w:r>
      <w:r>
        <w:rPr>
          <w:rStyle w:val="7"/>
          <w:rFonts w:hint="eastAsia" w:ascii="Times New Roman" w:hAnsi="Times New Roman" w:eastAsia="方正黑体_GBK" w:cs="方正黑体_GBK"/>
          <w:b w:val="0"/>
          <w:bCs w:val="0"/>
          <w:color w:val="auto"/>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度“三公”经费支出共计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万元，较年初预算数无增减，主要原因是</w:t>
      </w:r>
      <w:r>
        <w:rPr>
          <w:rFonts w:hint="eastAsia" w:ascii="Times New Roman" w:hAnsi="Times New Roman" w:eastAsia="方正仿宋_GBK" w:cs="方正仿宋_GBK"/>
          <w:b w:val="0"/>
          <w:bCs w:val="0"/>
          <w:color w:val="auto"/>
          <w:sz w:val="32"/>
          <w:szCs w:val="32"/>
          <w:shd w:val="clear" w:color="auto" w:fill="FFFFFF"/>
          <w:lang w:eastAsia="zh-CN"/>
        </w:rPr>
        <w:t>本单位未单独预算</w:t>
      </w:r>
      <w:r>
        <w:rPr>
          <w:rFonts w:ascii="Times New Roman" w:hAnsi="Times New Roman" w:eastAsia="方正仿宋_GBK" w:cs="方正仿宋_GBK"/>
          <w:b w:val="0"/>
          <w:bCs w:val="0"/>
          <w:color w:val="auto"/>
          <w:sz w:val="32"/>
          <w:szCs w:val="32"/>
          <w:shd w:val="clear" w:color="auto" w:fill="FFFFFF"/>
        </w:rPr>
        <w:t>“三公”经费</w:t>
      </w:r>
      <w:r>
        <w:rPr>
          <w:rFonts w:hint="eastAsia" w:ascii="Times New Roman" w:hAnsi="Times New Roman" w:eastAsia="方正仿宋_GBK" w:cs="方正仿宋_GBK"/>
          <w:b w:val="0"/>
          <w:bCs w:val="0"/>
          <w:color w:val="auto"/>
          <w:sz w:val="32"/>
          <w:szCs w:val="32"/>
          <w:shd w:val="clear" w:color="auto" w:fill="FFFFFF"/>
          <w:lang w:eastAsia="zh-CN"/>
        </w:rPr>
        <w:t>，</w:t>
      </w:r>
      <w:r>
        <w:rPr>
          <w:rFonts w:ascii="Times New Roman" w:hAnsi="Times New Roman" w:eastAsia="方正仿宋_GBK" w:cs="方正仿宋_GBK"/>
          <w:b w:val="0"/>
          <w:bCs w:val="0"/>
          <w:color w:val="auto"/>
          <w:sz w:val="32"/>
          <w:szCs w:val="32"/>
          <w:shd w:val="clear" w:color="auto" w:fill="FFFFFF"/>
        </w:rPr>
        <w:t>“三公”经费</w:t>
      </w:r>
      <w:r>
        <w:rPr>
          <w:rFonts w:hint="eastAsia" w:ascii="Times New Roman" w:hAnsi="Times New Roman" w:eastAsia="方正仿宋_GBK" w:cs="方正仿宋_GBK"/>
          <w:b w:val="0"/>
          <w:bCs w:val="0"/>
          <w:color w:val="auto"/>
          <w:sz w:val="32"/>
          <w:szCs w:val="32"/>
          <w:shd w:val="clear" w:color="auto" w:fill="FFFFFF"/>
          <w:lang w:eastAsia="zh-CN"/>
        </w:rPr>
        <w:t>均在机关经费中列支</w:t>
      </w:r>
      <w:r>
        <w:rPr>
          <w:rFonts w:ascii="Times New Roman" w:hAnsi="Times New Roman" w:eastAsia="方正仿宋_GBK" w:cs="方正仿宋_GBK"/>
          <w:b w:val="0"/>
          <w:bCs w:val="0"/>
          <w:color w:val="auto"/>
          <w:sz w:val="32"/>
          <w:szCs w:val="32"/>
          <w:shd w:val="clear" w:color="auto" w:fill="FFFFFF"/>
        </w:rPr>
        <w:t>。较上年支出数无增减，主要原因是</w:t>
      </w:r>
      <w:r>
        <w:rPr>
          <w:rFonts w:hint="eastAsia" w:ascii="Times New Roman" w:hAnsi="Times New Roman" w:eastAsia="方正仿宋_GBK" w:cs="方正仿宋_GBK"/>
          <w:b w:val="0"/>
          <w:bCs w:val="0"/>
          <w:color w:val="auto"/>
          <w:sz w:val="32"/>
          <w:szCs w:val="32"/>
          <w:shd w:val="clear" w:color="auto" w:fill="FFFFFF"/>
          <w:lang w:eastAsia="zh-CN"/>
        </w:rPr>
        <w:t>本单位未单独预算</w:t>
      </w:r>
      <w:r>
        <w:rPr>
          <w:rFonts w:ascii="Times New Roman" w:hAnsi="Times New Roman" w:eastAsia="方正仿宋_GBK" w:cs="方正仿宋_GBK"/>
          <w:b w:val="0"/>
          <w:bCs w:val="0"/>
          <w:color w:val="auto"/>
          <w:sz w:val="32"/>
          <w:szCs w:val="32"/>
          <w:shd w:val="clear" w:color="auto" w:fill="FFFFFF"/>
        </w:rPr>
        <w:t>“三公”经费</w:t>
      </w:r>
      <w:r>
        <w:rPr>
          <w:rFonts w:hint="eastAsia" w:ascii="Times New Roman" w:hAnsi="Times New Roman" w:eastAsia="方正仿宋_GBK" w:cs="方正仿宋_GBK"/>
          <w:b w:val="0"/>
          <w:bCs w:val="0"/>
          <w:color w:val="auto"/>
          <w:sz w:val="32"/>
          <w:szCs w:val="32"/>
          <w:shd w:val="clear" w:color="auto" w:fill="FFFFFF"/>
          <w:lang w:eastAsia="zh-CN"/>
        </w:rPr>
        <w:t>，</w:t>
      </w:r>
      <w:r>
        <w:rPr>
          <w:rFonts w:ascii="Times New Roman" w:hAnsi="Times New Roman" w:eastAsia="方正仿宋_GBK" w:cs="方正仿宋_GBK"/>
          <w:b w:val="0"/>
          <w:bCs w:val="0"/>
          <w:color w:val="auto"/>
          <w:sz w:val="32"/>
          <w:szCs w:val="32"/>
          <w:shd w:val="clear" w:color="auto" w:fill="FFFFFF"/>
        </w:rPr>
        <w:t>“三公”经费</w:t>
      </w:r>
      <w:r>
        <w:rPr>
          <w:rFonts w:hint="eastAsia" w:ascii="Times New Roman" w:hAnsi="Times New Roman" w:eastAsia="方正仿宋_GBK" w:cs="方正仿宋_GBK"/>
          <w:b w:val="0"/>
          <w:bCs w:val="0"/>
          <w:color w:val="auto"/>
          <w:sz w:val="32"/>
          <w:szCs w:val="32"/>
          <w:shd w:val="clear" w:color="auto" w:fill="FFFFFF"/>
          <w:lang w:eastAsia="zh-CN"/>
        </w:rPr>
        <w:t>均在机关经费中列支</w:t>
      </w:r>
      <w:r>
        <w:rPr>
          <w:rFonts w:ascii="Times New Roman" w:hAnsi="Times New Roman" w:eastAsia="方正仿宋_GBK" w:cs="方正仿宋_GBK"/>
          <w:b w:val="0"/>
          <w:bCs w:val="0"/>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度本单位因公出国（境）费用</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万元，费用支出较年初预算数无增减，较上年支出数无增减，</w:t>
      </w:r>
      <w:r>
        <w:rPr>
          <w:rFonts w:hint="eastAsia" w:ascii="Times New Roman" w:hAnsi="Times New Roman" w:eastAsia="方正仿宋_GBK" w:cs="方正仿宋_GBK"/>
          <w:b w:val="0"/>
          <w:bCs w:val="0"/>
          <w:color w:val="auto"/>
          <w:sz w:val="32"/>
          <w:szCs w:val="32"/>
          <w:shd w:val="clear" w:color="auto" w:fill="FFFFFF"/>
          <w:lang w:eastAsia="zh-CN"/>
        </w:rPr>
        <w:t>与上年度决算数持平</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公务车购置费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万元，费用支出较年初预算数无增减，较上年支出数无增减，</w:t>
      </w:r>
      <w:r>
        <w:rPr>
          <w:rFonts w:hint="eastAsia" w:ascii="Times New Roman" w:hAnsi="Times New Roman" w:eastAsia="方正仿宋_GBK" w:cs="方正仿宋_GBK"/>
          <w:b w:val="0"/>
          <w:bCs w:val="0"/>
          <w:color w:val="auto"/>
          <w:sz w:val="32"/>
          <w:szCs w:val="32"/>
          <w:shd w:val="clear" w:color="auto" w:fill="FFFFFF"/>
          <w:lang w:eastAsia="zh-CN"/>
        </w:rPr>
        <w:t>与上年度决算数持平</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公务车运行维护费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万元，费用支出较年初预算数无增减，较上年支出数无增减，</w:t>
      </w:r>
      <w:r>
        <w:rPr>
          <w:rFonts w:hint="eastAsia" w:ascii="Times New Roman" w:hAnsi="Times New Roman" w:eastAsia="方正仿宋_GBK" w:cs="方正仿宋_GBK"/>
          <w:b w:val="0"/>
          <w:bCs w:val="0"/>
          <w:color w:val="auto"/>
          <w:sz w:val="32"/>
          <w:szCs w:val="32"/>
          <w:shd w:val="clear" w:color="auto" w:fill="FFFFFF"/>
          <w:lang w:eastAsia="zh-CN"/>
        </w:rPr>
        <w:t>与上年度决算数持平</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公务接待费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万元，费用支出较年初预算数无增减，较上年支出数无增减，</w:t>
      </w:r>
      <w:r>
        <w:rPr>
          <w:rFonts w:hint="eastAsia" w:ascii="Times New Roman" w:hAnsi="Times New Roman" w:eastAsia="方正仿宋_GBK" w:cs="方正仿宋_GBK"/>
          <w:b w:val="0"/>
          <w:bCs w:val="0"/>
          <w:color w:val="auto"/>
          <w:sz w:val="32"/>
          <w:szCs w:val="32"/>
          <w:shd w:val="clear" w:color="auto" w:fill="FFFFFF"/>
          <w:lang w:eastAsia="zh-CN"/>
        </w:rPr>
        <w:t>与上年度决算数持平</w:t>
      </w:r>
      <w:r>
        <w:rPr>
          <w:rFonts w:ascii="Times New Roman" w:hAnsi="Times New Roman" w:eastAsia="方正仿宋_GBK" w:cs="方正仿宋_GBK"/>
          <w:b w:val="0"/>
          <w:bCs w:val="0"/>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度本单位因公出国（境）共计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个团组，</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人；公务用车购置</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辆，公务车保有量为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辆；国内公务接待</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批次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人，其中：国内外事接待</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批次，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人；国（境）外公务接待</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批次，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本单位人均接待费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元，车均购置费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万元，车均维护费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default" w:ascii="Times New Roman" w:hAnsi="Times New Roman" w:eastAsia="方正黑体_GBK" w:cs="方正黑体_GBK"/>
          <w:b w:val="0"/>
          <w:bCs w:val="0"/>
          <w:color w:val="auto"/>
          <w:sz w:val="32"/>
          <w:szCs w:val="32"/>
          <w:shd w:val="clear" w:color="auto" w:fill="FFFFFF"/>
        </w:rPr>
      </w:pPr>
      <w:r>
        <w:rPr>
          <w:rStyle w:val="7"/>
          <w:rFonts w:hint="eastAsia" w:ascii="Times New Roman" w:hAnsi="Times New Roman" w:eastAsia="方正黑体_GBK" w:cs="方正黑体_GBK"/>
          <w:b w:val="0"/>
          <w:bCs w:val="0"/>
          <w:color w:val="auto"/>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本年度会议费支出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万元，与2023年度相比，无增减，主要原因是</w:t>
      </w:r>
      <w:r>
        <w:rPr>
          <w:rFonts w:hint="eastAsia" w:ascii="Times New Roman" w:hAnsi="Times New Roman" w:eastAsia="方正仿宋_GBK" w:cs="方正仿宋_GBK"/>
          <w:b w:val="0"/>
          <w:bCs w:val="0"/>
          <w:color w:val="auto"/>
          <w:sz w:val="32"/>
          <w:szCs w:val="32"/>
          <w:shd w:val="clear" w:color="auto" w:fill="FFFFFF"/>
          <w:lang w:eastAsia="zh-CN"/>
        </w:rPr>
        <w:t>厉行节俭，缩减会议支出</w:t>
      </w:r>
      <w:r>
        <w:rPr>
          <w:rFonts w:ascii="Times New Roman" w:hAnsi="Times New Roman" w:eastAsia="方正仿宋_GBK" w:cs="方正仿宋_GBK"/>
          <w:b w:val="0"/>
          <w:bCs w:val="0"/>
          <w:color w:val="auto"/>
          <w:sz w:val="32"/>
          <w:szCs w:val="32"/>
          <w:shd w:val="clear" w:color="auto" w:fill="FFFFFF"/>
        </w:rPr>
        <w:t>。本年度培训费支出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万元，与2023年度相比，无变化，主要原因是</w:t>
      </w:r>
      <w:r>
        <w:rPr>
          <w:rFonts w:hint="eastAsia" w:ascii="Times New Roman" w:hAnsi="Times New Roman" w:eastAsia="方正仿宋_GBK" w:cs="方正仿宋_GBK"/>
          <w:b w:val="0"/>
          <w:bCs w:val="0"/>
          <w:color w:val="auto"/>
          <w:sz w:val="32"/>
          <w:szCs w:val="32"/>
          <w:shd w:val="clear" w:color="auto" w:fill="FFFFFF"/>
          <w:lang w:eastAsia="zh-CN"/>
        </w:rPr>
        <w:t>厉行节俭，缩减培训支出</w:t>
      </w:r>
      <w:r>
        <w:rPr>
          <w:rFonts w:ascii="Times New Roman" w:hAnsi="Times New Roman" w:eastAsia="方正仿宋_GBK" w:cs="方正仿宋_GBK"/>
          <w:b w:val="0"/>
          <w:bCs w:val="0"/>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度本单位机关运行经费支出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r>
        <w:rPr>
          <w:rFonts w:hint="default" w:ascii="Times New Roman" w:hAnsi="Times New Roman" w:eastAsia="方正仿宋_GBK" w:cs="方正仿宋_GBK"/>
          <w:b w:val="0"/>
          <w:bCs w:val="0"/>
          <w:color w:val="auto"/>
          <w:sz w:val="32"/>
          <w:szCs w:val="32"/>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截至</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12月31日，本单位共有车辆</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辆，其中，副部（省）级及以上领导用车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辆、主要负责人用车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辆、机要通信用车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辆、应急保障用车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辆、执法执勤用车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辆，特种专业技术用车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辆，离退休干部用车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辆。单价100万元（含）以上专用设备</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度我单位未发生政府采购事项，无相关经费支出。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eastAsia" w:ascii="Times New Roman" w:hAnsi="Times New Roman" w:eastAsia="方正黑体_GBK" w:cs="方正黑体_GBK"/>
          <w:b w:val="0"/>
          <w:bCs w:val="0"/>
          <w:color w:val="auto"/>
          <w:sz w:val="32"/>
          <w:szCs w:val="32"/>
          <w:shd w:val="clear" w:color="auto" w:fill="FFFFFF"/>
          <w:lang w:val="en-US" w:eastAsia="zh-CN"/>
        </w:rPr>
      </w:pPr>
      <w:r>
        <w:rPr>
          <w:rStyle w:val="7"/>
          <w:rFonts w:hint="eastAsia" w:ascii="Times New Roman" w:hAnsi="Times New Roman" w:eastAsia="方正黑体_GBK" w:cs="方正黑体_GBK"/>
          <w:b w:val="0"/>
          <w:bCs w:val="0"/>
          <w:color w:val="auto"/>
          <w:sz w:val="32"/>
          <w:szCs w:val="32"/>
          <w:shd w:val="clear" w:color="auto" w:fill="FFFFFF"/>
          <w:lang w:val="en-US" w:eastAsia="zh-CN"/>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楷体" w:cs="楷体"/>
          <w:b w:val="0"/>
          <w:bCs w:val="0"/>
          <w:color w:val="auto"/>
          <w:kern w:val="0"/>
          <w:sz w:val="32"/>
          <w:szCs w:val="32"/>
          <w:shd w:val="clear" w:fill="FFFFFF"/>
        </w:rPr>
      </w:pPr>
      <w:r>
        <w:rPr>
          <w:rFonts w:hint="eastAsia" w:ascii="Times New Roman" w:hAnsi="Times New Roman" w:eastAsia="楷体" w:cs="楷体"/>
          <w:b w:val="0"/>
          <w:bCs w:val="0"/>
          <w:color w:val="auto"/>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根据预算绩效管理要求，我单位对</w:t>
      </w:r>
      <w:r>
        <w:rPr>
          <w:rFonts w:hint="eastAsia" w:ascii="Times New Roman" w:hAnsi="Times New Roman" w:eastAsia="方正仿宋_GBK" w:cs="方正仿宋_GBK"/>
          <w:b w:val="0"/>
          <w:bCs w:val="0"/>
          <w:color w:val="auto"/>
          <w:kern w:val="0"/>
          <w:sz w:val="32"/>
          <w:szCs w:val="32"/>
          <w:shd w:val="clear" w:fill="FFFFFF"/>
          <w:lang w:val="en-US" w:eastAsia="zh-CN"/>
        </w:rPr>
        <w:t>1</w:t>
      </w:r>
      <w:r>
        <w:rPr>
          <w:rFonts w:hint="eastAsia" w:ascii="Times New Roman" w:hAnsi="Times New Roman" w:eastAsia="方正仿宋_GBK" w:cs="方正仿宋_GBK"/>
          <w:b w:val="0"/>
          <w:bCs w:val="0"/>
          <w:color w:val="auto"/>
          <w:kern w:val="0"/>
          <w:sz w:val="32"/>
          <w:szCs w:val="32"/>
          <w:shd w:val="clear" w:fill="FFFFFF"/>
        </w:rPr>
        <w:t>个项目开展了绩效自评，其中，以填报自评表形式开展自评</w:t>
      </w:r>
      <w:r>
        <w:rPr>
          <w:rFonts w:hint="eastAsia" w:ascii="Times New Roman" w:hAnsi="Times New Roman" w:eastAsia="方正仿宋_GBK" w:cs="方正仿宋_GBK"/>
          <w:b w:val="0"/>
          <w:bCs w:val="0"/>
          <w:color w:val="auto"/>
          <w:kern w:val="0"/>
          <w:sz w:val="32"/>
          <w:szCs w:val="32"/>
          <w:shd w:val="clear" w:fill="FFFFFF"/>
          <w:lang w:val="en-US" w:eastAsia="zh-CN"/>
        </w:rPr>
        <w:t>1</w:t>
      </w:r>
      <w:r>
        <w:rPr>
          <w:rFonts w:hint="eastAsia" w:ascii="Times New Roman" w:hAnsi="Times New Roman" w:eastAsia="方正仿宋_GBK" w:cs="方正仿宋_GBK"/>
          <w:b w:val="0"/>
          <w:bCs w:val="0"/>
          <w:color w:val="auto"/>
          <w:kern w:val="0"/>
          <w:sz w:val="32"/>
          <w:szCs w:val="32"/>
          <w:shd w:val="clear" w:fill="FFFFFF"/>
        </w:rPr>
        <w:t>项，涉及资金</w:t>
      </w:r>
      <w:r>
        <w:rPr>
          <w:rFonts w:hint="eastAsia" w:ascii="Times New Roman" w:hAnsi="Times New Roman" w:eastAsia="方正仿宋_GBK" w:cs="方正仿宋_GBK"/>
          <w:b w:val="0"/>
          <w:bCs w:val="0"/>
          <w:color w:val="auto"/>
          <w:kern w:val="0"/>
          <w:sz w:val="32"/>
          <w:szCs w:val="32"/>
          <w:shd w:val="clear" w:fill="FFFFFF"/>
          <w:lang w:val="en-US" w:eastAsia="zh-CN"/>
        </w:rPr>
        <w:t>19.10</w:t>
      </w:r>
      <w:bookmarkStart w:id="0" w:name="_GoBack"/>
      <w:bookmarkEnd w:id="0"/>
      <w:r>
        <w:rPr>
          <w:rFonts w:hint="eastAsia" w:ascii="Times New Roman" w:hAnsi="Times New Roman" w:eastAsia="方正仿宋_GBK" w:cs="方正仿宋_GBK"/>
          <w:b w:val="0"/>
          <w:bCs w:val="0"/>
          <w:color w:val="auto"/>
          <w:kern w:val="0"/>
          <w:sz w:val="32"/>
          <w:szCs w:val="32"/>
          <w:shd w:val="clear" w:fill="FFFFFF"/>
        </w:rPr>
        <w:t>万元。</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楷体" w:cs="楷体"/>
          <w:b w:val="0"/>
          <w:bCs w:val="0"/>
          <w:color w:val="auto"/>
          <w:kern w:val="0"/>
          <w:sz w:val="32"/>
          <w:szCs w:val="32"/>
          <w:shd w:val="clear" w:fill="FFFFFF"/>
        </w:rPr>
      </w:pPr>
      <w:r>
        <w:rPr>
          <w:rFonts w:hint="eastAsia" w:ascii="Times New Roman" w:hAnsi="Times New Roman" w:eastAsia="楷体" w:cs="楷体"/>
          <w:b w:val="0"/>
          <w:bCs w:val="0"/>
          <w:color w:val="auto"/>
          <w:kern w:val="0"/>
          <w:sz w:val="32"/>
          <w:szCs w:val="32"/>
          <w:shd w:val="clear" w:fill="FFFFFF"/>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详见附件</w:t>
      </w:r>
      <w:r>
        <w:rPr>
          <w:rFonts w:hint="eastAsia" w:ascii="Times New Roman" w:hAnsi="Times New Roman" w:eastAsia="方正仿宋_GBK" w:cs="方正仿宋_GBK"/>
          <w:b w:val="0"/>
          <w:bCs w:val="0"/>
          <w:color w:val="auto"/>
          <w:kern w:val="0"/>
          <w:sz w:val="32"/>
          <w:szCs w:val="32"/>
          <w:shd w:val="clear" w:fill="FFFFFF"/>
          <w:lang w:eastAsia="zh-CN"/>
        </w:rPr>
        <w:t>重庆市铜梁区维新镇文化服务中心</w:t>
      </w:r>
      <w:r>
        <w:rPr>
          <w:rFonts w:hint="eastAsia" w:ascii="Times New Roman" w:hAnsi="Times New Roman" w:eastAsia="方正仿宋_GBK" w:cs="方正仿宋_GBK"/>
          <w:b w:val="0"/>
          <w:bCs w:val="0"/>
          <w:color w:val="auto"/>
          <w:kern w:val="0"/>
          <w:sz w:val="32"/>
          <w:szCs w:val="32"/>
          <w:shd w:val="clear" w:fill="FFFFFF"/>
          <w:lang w:val="en-US" w:eastAsia="zh-CN"/>
        </w:rPr>
        <w:t>2024年度项目绩效自评表</w:t>
      </w:r>
      <w:r>
        <w:rPr>
          <w:rFonts w:hint="eastAsia" w:ascii="Times New Roman" w:hAnsi="Times New Roman" w:eastAsia="方正仿宋_GBK" w:cs="方正仿宋_GBK"/>
          <w:b w:val="0"/>
          <w:bCs w:val="0"/>
          <w:color w:val="auto"/>
          <w:kern w:val="0"/>
          <w:sz w:val="32"/>
          <w:szCs w:val="32"/>
          <w:shd w:val="clear" w:fill="FFFFFF"/>
        </w:rPr>
        <w:t>。</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我单位对</w:t>
      </w:r>
      <w:r>
        <w:rPr>
          <w:rFonts w:hint="eastAsia" w:ascii="Times New Roman" w:hAnsi="Times New Roman" w:eastAsia="方正仿宋_GBK" w:cs="方正仿宋_GBK"/>
          <w:b w:val="0"/>
          <w:bCs w:val="0"/>
          <w:color w:val="auto"/>
          <w:kern w:val="0"/>
          <w:sz w:val="32"/>
          <w:szCs w:val="32"/>
          <w:shd w:val="clear" w:fill="FFFFFF"/>
          <w:lang w:val="en-US" w:eastAsia="zh-CN"/>
        </w:rPr>
        <w:t>1个</w:t>
      </w:r>
      <w:r>
        <w:rPr>
          <w:rFonts w:hint="eastAsia" w:ascii="Times New Roman" w:hAnsi="Times New Roman" w:eastAsia="方正仿宋_GBK" w:cs="方正仿宋_GBK"/>
          <w:b w:val="0"/>
          <w:bCs w:val="0"/>
          <w:color w:val="auto"/>
          <w:kern w:val="0"/>
          <w:sz w:val="32"/>
          <w:szCs w:val="32"/>
          <w:shd w:val="clear" w:fill="FFFFFF"/>
        </w:rPr>
        <w:t>项目进行绩效自评，其中</w:t>
      </w:r>
      <w:r>
        <w:rPr>
          <w:rFonts w:hint="eastAsia" w:ascii="Times New Roman" w:hAnsi="Times New Roman" w:eastAsia="方正仿宋_GBK" w:cs="方正仿宋_GBK"/>
          <w:b w:val="0"/>
          <w:bCs w:val="0"/>
          <w:color w:val="auto"/>
          <w:kern w:val="0"/>
          <w:sz w:val="32"/>
          <w:szCs w:val="32"/>
          <w:shd w:val="clear" w:fill="FFFFFF"/>
          <w:lang w:val="en-US" w:eastAsia="zh-CN"/>
        </w:rPr>
        <w:t>1</w:t>
      </w:r>
      <w:r>
        <w:rPr>
          <w:rFonts w:hint="eastAsia" w:ascii="Times New Roman" w:hAnsi="Times New Roman" w:eastAsia="方正仿宋_GBK" w:cs="方正仿宋_GBK"/>
          <w:b w:val="0"/>
          <w:bCs w:val="0"/>
          <w:color w:val="auto"/>
          <w:kern w:val="0"/>
          <w:sz w:val="32"/>
          <w:szCs w:val="32"/>
          <w:shd w:val="clear" w:fill="FFFFFF"/>
        </w:rPr>
        <w:t>个已完成年度绩效目标，</w:t>
      </w:r>
      <w:r>
        <w:rPr>
          <w:rFonts w:hint="eastAsia" w:ascii="Times New Roman" w:hAnsi="Times New Roman" w:eastAsia="方正仿宋_GBK" w:cs="方正仿宋_GBK"/>
          <w:b w:val="0"/>
          <w:bCs w:val="0"/>
          <w:color w:val="auto"/>
          <w:kern w:val="0"/>
          <w:sz w:val="32"/>
          <w:szCs w:val="32"/>
          <w:shd w:val="clear" w:fill="FFFFFF"/>
          <w:lang w:val="en-US" w:eastAsia="zh-CN"/>
        </w:rPr>
        <w:t>0</w:t>
      </w:r>
      <w:r>
        <w:rPr>
          <w:rFonts w:hint="eastAsia" w:ascii="Times New Roman" w:hAnsi="Times New Roman" w:eastAsia="方正仿宋_GBK" w:cs="方正仿宋_GBK"/>
          <w:b w:val="0"/>
          <w:bCs w:val="0"/>
          <w:color w:val="auto"/>
          <w:kern w:val="0"/>
          <w:sz w:val="32"/>
          <w:szCs w:val="32"/>
          <w:shd w:val="clear" w:fill="FFFFFF"/>
        </w:rPr>
        <w:t>个未完成年度绩效目标。</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楷体" w:cs="楷体"/>
          <w:b w:val="0"/>
          <w:bCs w:val="0"/>
          <w:color w:val="auto"/>
          <w:kern w:val="0"/>
          <w:sz w:val="32"/>
          <w:szCs w:val="32"/>
          <w:shd w:val="clear" w:fill="FFFFFF"/>
          <w:lang w:val="en-US" w:eastAsia="zh-CN" w:bidi="ar"/>
        </w:rPr>
      </w:pPr>
      <w:r>
        <w:rPr>
          <w:rFonts w:hint="eastAsia" w:ascii="Times New Roman" w:hAnsi="Times New Roman" w:eastAsia="楷体" w:cs="楷体"/>
          <w:b w:val="0"/>
          <w:bCs w:val="0"/>
          <w:color w:val="auto"/>
          <w:kern w:val="0"/>
          <w:sz w:val="32"/>
          <w:szCs w:val="32"/>
          <w:shd w:val="clear" w:fill="FFFFFF"/>
          <w:lang w:val="en-US" w:eastAsia="zh-CN"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shd w:val="clear" w:fill="FFFFFF"/>
          <w:lang w:val="en-US" w:eastAsia="zh-CN"/>
        </w:rPr>
      </w:pPr>
      <w:r>
        <w:rPr>
          <w:rFonts w:hint="eastAsia" w:ascii="Times New Roman" w:hAnsi="Times New Roman" w:eastAsia="方正仿宋_GBK" w:cs="方正仿宋_GBK"/>
          <w:b w:val="0"/>
          <w:bCs w:val="0"/>
          <w:color w:val="auto"/>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方正黑体_GBK" w:cs="方正黑体_GBK"/>
          <w:b w:val="0"/>
          <w:bCs w:val="0"/>
          <w:color w:val="auto"/>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（一）财政拨款收入：</w:t>
      </w:r>
      <w:r>
        <w:rPr>
          <w:rFonts w:hint="eastAsia" w:ascii="Times New Roman" w:hAnsi="Times New Roman" w:eastAsia="方正仿宋_GBK" w:cs="方正仿宋_GBK"/>
          <w:b w:val="0"/>
          <w:bCs w:val="0"/>
          <w:color w:val="auto"/>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（二）事业收入：</w:t>
      </w:r>
      <w:r>
        <w:rPr>
          <w:rFonts w:hint="eastAsia" w:ascii="Times New Roman" w:hAnsi="Times New Roman" w:eastAsia="方正仿宋_GBK" w:cs="方正仿宋_GBK"/>
          <w:b w:val="0"/>
          <w:bCs w:val="0"/>
          <w:color w:val="auto"/>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（三）经营收入：</w:t>
      </w:r>
      <w:r>
        <w:rPr>
          <w:rFonts w:hint="eastAsia" w:ascii="Times New Roman" w:hAnsi="Times New Roman" w:eastAsia="方正仿宋_GBK" w:cs="方正仿宋_GBK"/>
          <w:b w:val="0"/>
          <w:bCs w:val="0"/>
          <w:color w:val="auto"/>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（四）其他收入：</w:t>
      </w:r>
      <w:r>
        <w:rPr>
          <w:rFonts w:hint="eastAsia" w:ascii="Times New Roman" w:hAnsi="Times New Roman" w:eastAsia="方正仿宋_GBK" w:cs="方正仿宋_GBK"/>
          <w:b w:val="0"/>
          <w:bCs w:val="0"/>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（五）使用非财政拨款结余：</w:t>
      </w:r>
      <w:r>
        <w:rPr>
          <w:rFonts w:hint="eastAsia" w:ascii="Times New Roman" w:hAnsi="Times New Roman" w:eastAsia="方正仿宋_GBK" w:cs="方正仿宋_GBK"/>
          <w:b w:val="0"/>
          <w:bCs w:val="0"/>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（六）年初结转和结余：</w:t>
      </w:r>
      <w:r>
        <w:rPr>
          <w:rFonts w:hint="eastAsia" w:ascii="Times New Roman" w:hAnsi="Times New Roman" w:eastAsia="方正仿宋_GBK" w:cs="方正仿宋_GBK"/>
          <w:b w:val="0"/>
          <w:bCs w:val="0"/>
          <w:color w:val="auto"/>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（七）结余分配：</w:t>
      </w:r>
      <w:r>
        <w:rPr>
          <w:rFonts w:hint="eastAsia" w:ascii="Times New Roman" w:hAnsi="Times New Roman" w:eastAsia="方正仿宋_GBK" w:cs="方正仿宋_GBK"/>
          <w:b w:val="0"/>
          <w:bCs w:val="0"/>
          <w:color w:val="auto"/>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（八）年末结转和结余：</w:t>
      </w:r>
      <w:r>
        <w:rPr>
          <w:rFonts w:hint="eastAsia" w:ascii="Times New Roman" w:hAnsi="Times New Roman" w:eastAsia="方正仿宋_GBK" w:cs="方正仿宋_GBK"/>
          <w:b w:val="0"/>
          <w:bCs w:val="0"/>
          <w:color w:val="auto"/>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（九）基本支出：</w:t>
      </w:r>
      <w:r>
        <w:rPr>
          <w:rFonts w:hint="eastAsia" w:ascii="Times New Roman" w:hAnsi="Times New Roman" w:eastAsia="方正仿宋_GBK" w:cs="方正仿宋_GBK"/>
          <w:b w:val="0"/>
          <w:bCs w:val="0"/>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（十）项目支出：</w:t>
      </w:r>
      <w:r>
        <w:rPr>
          <w:rFonts w:hint="eastAsia" w:ascii="Times New Roman" w:hAnsi="Times New Roman" w:eastAsia="方正仿宋_GBK" w:cs="方正仿宋_GBK"/>
          <w:b w:val="0"/>
          <w:bCs w:val="0"/>
          <w:color w:val="auto"/>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（十一）经营支出：</w:t>
      </w:r>
      <w:r>
        <w:rPr>
          <w:rFonts w:hint="eastAsia" w:ascii="Times New Roman" w:hAnsi="Times New Roman" w:eastAsia="方正仿宋_GBK" w:cs="方正仿宋_GBK"/>
          <w:b w:val="0"/>
          <w:bCs w:val="0"/>
          <w:color w:val="auto"/>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（十二）“三公”经费：</w:t>
      </w:r>
      <w:r>
        <w:rPr>
          <w:rFonts w:hint="eastAsia" w:ascii="Times New Roman" w:hAnsi="Times New Roman" w:eastAsia="方正仿宋_GBK" w:cs="方正仿宋_GBK"/>
          <w:b w:val="0"/>
          <w:bCs w:val="0"/>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（十三）机关运行经费：</w:t>
      </w:r>
      <w:r>
        <w:rPr>
          <w:rFonts w:hint="eastAsia" w:ascii="Times New Roman" w:hAnsi="Times New Roman" w:eastAsia="方正仿宋_GBK" w:cs="方正仿宋_GBK"/>
          <w:b w:val="0"/>
          <w:bCs w:val="0"/>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b w:val="0"/>
          <w:bCs w:val="0"/>
          <w:color w:val="auto"/>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b w:val="0"/>
          <w:bCs w:val="0"/>
          <w:color w:val="auto"/>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b w:val="0"/>
          <w:bCs w:val="0"/>
          <w:color w:val="auto"/>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b w:val="0"/>
          <w:bCs w:val="0"/>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eastAsia" w:ascii="Times New Roman" w:hAnsi="Times New Roman" w:eastAsia="方正黑体_GBK" w:cs="方正黑体_GBK"/>
          <w:b w:val="0"/>
          <w:bCs w:val="0"/>
          <w:color w:val="auto"/>
          <w:sz w:val="32"/>
          <w:szCs w:val="32"/>
          <w:shd w:val="clear" w:color="auto" w:fill="FFFFFF"/>
        </w:rPr>
      </w:pPr>
      <w:r>
        <w:rPr>
          <w:rStyle w:val="7"/>
          <w:rFonts w:hint="eastAsia" w:ascii="Times New Roman" w:hAnsi="Times New Roman" w:eastAsia="方正黑体_GBK" w:cs="方正黑体_GBK"/>
          <w:b w:val="0"/>
          <w:bCs w:val="0"/>
          <w:color w:val="auto"/>
          <w:sz w:val="32"/>
          <w:szCs w:val="32"/>
          <w:shd w:val="clear" w:color="auto" w:fill="FFFFFF"/>
          <w:lang w:val="en-US" w:eastAsia="zh-CN"/>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方正仿宋_GBK"/>
          <w:b w:val="0"/>
          <w:bCs w:val="0"/>
          <w:color w:val="auto"/>
          <w:kern w:val="0"/>
          <w:sz w:val="32"/>
          <w:szCs w:val="32"/>
          <w:lang w:val="en-US" w:eastAsia="zh-CN"/>
        </w:rPr>
      </w:pPr>
      <w:r>
        <w:rPr>
          <w:rFonts w:hint="eastAsia" w:ascii="Times New Roman" w:hAnsi="Times New Roman" w:eastAsia="方正仿宋_GBK" w:cs="方正仿宋_GBK"/>
          <w:b w:val="0"/>
          <w:bCs w:val="0"/>
          <w:color w:val="auto"/>
          <w:kern w:val="0"/>
          <w:sz w:val="32"/>
          <w:szCs w:val="32"/>
          <w:shd w:val="clear" w:fill="FFFFFF"/>
        </w:rPr>
        <w:t>本单位决算公开信息反馈和联系方式：</w:t>
      </w:r>
      <w:r>
        <w:rPr>
          <w:rFonts w:hint="eastAsia" w:ascii="Times New Roman" w:hAnsi="Times New Roman" w:eastAsia="方正仿宋_GBK" w:cs="方正仿宋_GBK"/>
          <w:b w:val="0"/>
          <w:bCs w:val="0"/>
          <w:color w:val="auto"/>
          <w:kern w:val="0"/>
          <w:sz w:val="32"/>
          <w:szCs w:val="32"/>
          <w:shd w:val="clear" w:fill="FFFFFF"/>
          <w:lang w:eastAsia="zh-CN"/>
        </w:rPr>
        <w:t>华</w:t>
      </w:r>
      <w:r>
        <w:rPr>
          <w:rFonts w:hint="eastAsia" w:ascii="Times New Roman" w:hAnsi="Times New Roman" w:eastAsia="方正仿宋_GBK" w:cs="方正仿宋_GBK"/>
          <w:b w:val="0"/>
          <w:bCs w:val="0"/>
          <w:color w:val="auto"/>
          <w:kern w:val="0"/>
          <w:sz w:val="32"/>
          <w:szCs w:val="32"/>
          <w:shd w:val="clear" w:fill="FFFFFF"/>
          <w:lang w:val="en-US" w:eastAsia="zh-CN"/>
        </w:rPr>
        <w:t xml:space="preserve"> </w:t>
      </w:r>
      <w:r>
        <w:rPr>
          <w:rFonts w:hint="eastAsia" w:ascii="Times New Roman" w:hAnsi="Times New Roman" w:eastAsia="方正仿宋_GBK" w:cs="方正仿宋_GBK"/>
          <w:b w:val="0"/>
          <w:bCs w:val="0"/>
          <w:color w:val="auto"/>
          <w:kern w:val="0"/>
          <w:sz w:val="32"/>
          <w:szCs w:val="32"/>
          <w:shd w:val="clear" w:fill="FFFFFF"/>
          <w:lang w:eastAsia="zh-CN"/>
        </w:rPr>
        <w:t>娅</w:t>
      </w:r>
      <w:r>
        <w:rPr>
          <w:rFonts w:hint="eastAsia" w:ascii="Times New Roman" w:hAnsi="Times New Roman" w:eastAsia="方正仿宋_GBK" w:cs="方正仿宋_GBK"/>
          <w:b w:val="0"/>
          <w:bCs w:val="0"/>
          <w:color w:val="auto"/>
          <w:kern w:val="0"/>
          <w:sz w:val="32"/>
          <w:szCs w:val="32"/>
          <w:shd w:val="clear" w:fill="FFFFFF"/>
        </w:rPr>
        <w:t xml:space="preserve"> 023-</w:t>
      </w:r>
      <w:r>
        <w:rPr>
          <w:rFonts w:hint="eastAsia" w:ascii="Times New Roman" w:hAnsi="Times New Roman" w:eastAsia="方正仿宋_GBK" w:cs="方正仿宋_GBK"/>
          <w:b w:val="0"/>
          <w:bCs w:val="0"/>
          <w:color w:val="auto"/>
          <w:kern w:val="0"/>
          <w:sz w:val="32"/>
          <w:szCs w:val="32"/>
          <w:shd w:val="clear" w:fill="FFFFFF"/>
          <w:lang w:val="en-US" w:eastAsia="zh-CN"/>
        </w:rPr>
        <w:t>45862231</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Style w:val="11"/>
          <w:rFonts w:hint="eastAsia" w:ascii="Times New Roman" w:hAnsi="Times New Roman" w:eastAsia="方正仿宋_GBK" w:cs="方正仿宋_GBK"/>
          <w:b w:val="0"/>
          <w:bCs w:val="0"/>
          <w:color w:val="auto"/>
          <w:sz w:val="32"/>
          <w:szCs w:val="32"/>
          <w:shd w:val="clear" w:fill="FFFF00"/>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Style w:val="11"/>
          <w:rFonts w:hint="eastAsia" w:ascii="Times New Roman" w:hAnsi="Times New Roman" w:eastAsia="方正仿宋_GBK" w:cs="方正仿宋_GBK"/>
          <w:b w:val="0"/>
          <w:bCs w:val="0"/>
          <w:color w:val="auto"/>
          <w:sz w:val="32"/>
          <w:szCs w:val="32"/>
          <w:shd w:val="clear" w:fill="FFFF00"/>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jc w:val="both"/>
        <w:textAlignment w:val="auto"/>
        <w:rPr>
          <w:rStyle w:val="11"/>
          <w:rFonts w:hint="eastAsia" w:ascii="Times New Roman" w:hAnsi="Times New Roman" w:eastAsia="方正仿宋_GBK" w:cs="方正仿宋_GBK"/>
          <w:b w:val="0"/>
          <w:bCs w:val="0"/>
          <w:color w:val="auto"/>
          <w:sz w:val="32"/>
          <w:szCs w:val="32"/>
          <w:shd w:val="clear" w:fill="FFFF00"/>
          <w:lang w:val="en-US" w:eastAsia="zh-CN"/>
        </w:rPr>
      </w:pPr>
    </w:p>
    <w:sectPr>
      <w:headerReference r:id="rId3" w:type="default"/>
      <w:footerReference r:id="rId4" w:type="default"/>
      <w:pgSz w:w="11850" w:h="16783"/>
      <w:pgMar w:top="1984" w:right="1446" w:bottom="1644" w:left="1446"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C24E4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0C66C2"/>
    <w:rsid w:val="0A3851D8"/>
    <w:rsid w:val="0A5C4B69"/>
    <w:rsid w:val="0AEC3BC7"/>
    <w:rsid w:val="0B9335CE"/>
    <w:rsid w:val="0C7927C4"/>
    <w:rsid w:val="0C9B098C"/>
    <w:rsid w:val="0D11728C"/>
    <w:rsid w:val="0D673E11"/>
    <w:rsid w:val="0DB50EFE"/>
    <w:rsid w:val="0DDA54E4"/>
    <w:rsid w:val="0E3A5F83"/>
    <w:rsid w:val="0F836721"/>
    <w:rsid w:val="0FA00157"/>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50E97"/>
    <w:rsid w:val="148E377E"/>
    <w:rsid w:val="1580711B"/>
    <w:rsid w:val="189B0D0B"/>
    <w:rsid w:val="194A1770"/>
    <w:rsid w:val="19917D9C"/>
    <w:rsid w:val="19B906A4"/>
    <w:rsid w:val="19ED72D2"/>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85463E9"/>
    <w:rsid w:val="29310A5F"/>
    <w:rsid w:val="29C37A35"/>
    <w:rsid w:val="29C95E09"/>
    <w:rsid w:val="2A076083"/>
    <w:rsid w:val="2A73162E"/>
    <w:rsid w:val="2B167953"/>
    <w:rsid w:val="2B200583"/>
    <w:rsid w:val="2B8209DE"/>
    <w:rsid w:val="2C161D32"/>
    <w:rsid w:val="2C2D3EC7"/>
    <w:rsid w:val="2C6762A3"/>
    <w:rsid w:val="2CFD3F1C"/>
    <w:rsid w:val="2D8D2A49"/>
    <w:rsid w:val="2FE029D7"/>
    <w:rsid w:val="2FF06E00"/>
    <w:rsid w:val="315D199F"/>
    <w:rsid w:val="315F0B22"/>
    <w:rsid w:val="31D84415"/>
    <w:rsid w:val="32285F6F"/>
    <w:rsid w:val="32770556"/>
    <w:rsid w:val="329C0913"/>
    <w:rsid w:val="3337290D"/>
    <w:rsid w:val="35221EAA"/>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1D275BC"/>
    <w:rsid w:val="522F6E0C"/>
    <w:rsid w:val="52463BA1"/>
    <w:rsid w:val="532B69CC"/>
    <w:rsid w:val="53C0244D"/>
    <w:rsid w:val="53DD4D4E"/>
    <w:rsid w:val="53E578CE"/>
    <w:rsid w:val="543B029D"/>
    <w:rsid w:val="545D0246"/>
    <w:rsid w:val="54A20C91"/>
    <w:rsid w:val="554E5773"/>
    <w:rsid w:val="555A3CBC"/>
    <w:rsid w:val="56530F5D"/>
    <w:rsid w:val="5709454A"/>
    <w:rsid w:val="5842572D"/>
    <w:rsid w:val="5AE75037"/>
    <w:rsid w:val="5B58571C"/>
    <w:rsid w:val="5B8376C2"/>
    <w:rsid w:val="5B96133A"/>
    <w:rsid w:val="5C1336B7"/>
    <w:rsid w:val="5C263CE4"/>
    <w:rsid w:val="5C5D2777"/>
    <w:rsid w:val="5D290C69"/>
    <w:rsid w:val="5D537F41"/>
    <w:rsid w:val="5D8E366C"/>
    <w:rsid w:val="5EFA176D"/>
    <w:rsid w:val="5F0247F9"/>
    <w:rsid w:val="5F2D4A41"/>
    <w:rsid w:val="601C34ED"/>
    <w:rsid w:val="60A958A9"/>
    <w:rsid w:val="60D22ADB"/>
    <w:rsid w:val="61025A59"/>
    <w:rsid w:val="613D5BBC"/>
    <w:rsid w:val="61536C39"/>
    <w:rsid w:val="6258297E"/>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87C529E"/>
    <w:rsid w:val="692172FD"/>
    <w:rsid w:val="69CA001C"/>
    <w:rsid w:val="6A3829EE"/>
    <w:rsid w:val="6B474EF5"/>
    <w:rsid w:val="6C560CAE"/>
    <w:rsid w:val="6D0615E4"/>
    <w:rsid w:val="6D903FF5"/>
    <w:rsid w:val="6DA955B8"/>
    <w:rsid w:val="6DE346AB"/>
    <w:rsid w:val="6F7F6A2D"/>
    <w:rsid w:val="6FB442D1"/>
    <w:rsid w:val="6FFB2E76"/>
    <w:rsid w:val="71C34D91"/>
    <w:rsid w:val="71ED38AA"/>
    <w:rsid w:val="720229AA"/>
    <w:rsid w:val="72DB435C"/>
    <w:rsid w:val="736073FD"/>
    <w:rsid w:val="750837F0"/>
    <w:rsid w:val="758937AA"/>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6"/>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1</TotalTime>
  <ScaleCrop>false</ScaleCrop>
  <LinksUpToDate>false</LinksUpToDate>
  <CharactersWithSpaces>21460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2025-10-15T01:45:28Z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9EDAFD8FD9424A54844071572B3E9A06_13</vt:lpwstr>
  </property>
</Properties>
</file>