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ascii="Times New Roman" w:hAnsi="Times New Roman" w:eastAsia="方正小标宋_GBK" w:cs="方正小标宋_GBK"/>
          <w:b w:val="0"/>
          <w:bCs w:val="0"/>
          <w:color w:val="auto"/>
          <w:sz w:val="44"/>
          <w:szCs w:val="44"/>
        </w:rPr>
      </w:pPr>
      <w:r>
        <w:rPr>
          <w:rFonts w:ascii="Times New Roman" w:hAnsi="Times New Roman" w:eastAsia="方正小标宋_GBK" w:cs="方正小标宋_GBK"/>
          <w:b w:val="0"/>
          <w:bCs w:val="0"/>
          <w:color w:val="auto"/>
          <w:sz w:val="44"/>
          <w:szCs w:val="44"/>
        </w:rPr>
        <w:t>重庆市铜梁区维新镇乡村产业培育中心</w:t>
      </w:r>
    </w:p>
    <w:p>
      <w:pPr>
        <w:pStyle w:val="5"/>
        <w:keepNext w:val="0"/>
        <w:keepLines w:val="0"/>
        <w:pageBreakBefore w:val="0"/>
        <w:widowControl/>
        <w:kinsoku/>
        <w:wordWrap/>
        <w:overflowPunct/>
        <w:topLinePunct w:val="0"/>
        <w:autoSpaceDN/>
        <w:bidi w:val="0"/>
        <w:adjustRightInd/>
        <w:spacing w:before="0" w:beforeAutospacing="0" w:after="0" w:afterAutospacing="0" w:line="594" w:lineRule="exact"/>
        <w:ind w:firstLine="880" w:firstLineChars="200"/>
        <w:jc w:val="center"/>
        <w:textAlignment w:val="auto"/>
        <w:rPr>
          <w:rFonts w:hint="default" w:ascii="Times New Roman" w:hAnsi="Times New Roman" w:eastAsia="方正小标宋_GBK" w:cs="方正小标宋_GBK"/>
          <w:b w:val="0"/>
          <w:bCs w:val="0"/>
          <w:color w:val="auto"/>
          <w:sz w:val="44"/>
          <w:szCs w:val="44"/>
          <w:shd w:val="clear" w:color="auto" w:fill="FFFFFF"/>
        </w:rPr>
      </w:pPr>
      <w:r>
        <w:rPr>
          <w:rFonts w:hint="default" w:ascii="Times New Roman" w:hAnsi="Times New Roman" w:eastAsia="方正小标宋_GBK" w:cs="Times New Roman"/>
          <w:b w:val="0"/>
          <w:bCs w:val="0"/>
          <w:color w:val="auto"/>
          <w:sz w:val="44"/>
          <w:szCs w:val="44"/>
          <w:shd w:val="clear" w:color="auto" w:fill="FFFFFF"/>
        </w:rPr>
        <w:t>2024</w:t>
      </w:r>
      <w:r>
        <w:rPr>
          <w:rFonts w:ascii="Times New Roman" w:hAnsi="Times New Roman" w:eastAsia="方正小标宋_GBK" w:cs="方正小标宋_GBK"/>
          <w:b w:val="0"/>
          <w:bCs w:val="0"/>
          <w:color w:val="auto"/>
          <w:sz w:val="44"/>
          <w:szCs w:val="44"/>
          <w:shd w:val="clear" w:color="auto" w:fill="FFFFFF"/>
        </w:rPr>
        <w:t>年度决算公开说明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ascii="Times New Roman" w:hAnsi="Times New Roman" w:eastAsia="黑体" w:cs="黑体"/>
          <w:b w:val="0"/>
          <w:bCs w:val="0"/>
          <w:color w:val="auto"/>
          <w:sz w:val="32"/>
          <w:szCs w:val="32"/>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一、</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基本情况</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楷体" w:cs="楷体"/>
          <w:b w:val="0"/>
          <w:bCs w:val="0"/>
          <w:color w:val="auto"/>
          <w:sz w:val="32"/>
          <w:szCs w:val="32"/>
          <w:shd w:val="clear" w:color="auto" w:fill="FFFFFF"/>
        </w:rPr>
        <w:t>（一）职能职责</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hint="eastAsia" w:ascii="Times New Roman" w:hAnsi="Times New Roman" w:eastAsia="方正仿宋_GBK" w:cs="方正仿宋_GBK"/>
          <w:b w:val="0"/>
          <w:bCs w:val="0"/>
          <w:color w:val="auto"/>
          <w:sz w:val="32"/>
          <w:szCs w:val="32"/>
          <w:shd w:val="clear" w:color="auto" w:fill="FFFFFF"/>
          <w:lang w:eastAsia="zh-CN"/>
        </w:rPr>
        <w:t>主要职责任务是承担产业规划、引进培育等工作，提振乡村经济发展，承担各类招商项目洽谈、推介活动等投资促进具体工作，承担扶贫开发等事务性工作，完成主管部门交办的其他任务。</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楷体" w:cs="楷体"/>
          <w:b w:val="0"/>
          <w:bCs w:val="0"/>
          <w:color w:val="auto"/>
          <w:sz w:val="32"/>
          <w:szCs w:val="32"/>
        </w:rPr>
      </w:pPr>
      <w:r>
        <w:rPr>
          <w:rStyle w:val="7"/>
          <w:rFonts w:ascii="Times New Roman" w:hAnsi="Times New Roman" w:eastAsia="楷体" w:cs="楷体"/>
          <w:b w:val="0"/>
          <w:bCs w:val="0"/>
          <w:color w:val="auto"/>
          <w:sz w:val="32"/>
          <w:szCs w:val="32"/>
          <w:shd w:val="clear" w:color="auto" w:fill="FFFFFF"/>
        </w:rPr>
        <w:t>（二）机构设置</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仿宋_GBK" w:cs="方正仿宋_GBK"/>
          <w:b w:val="0"/>
          <w:bCs w:val="0"/>
          <w:color w:val="auto"/>
          <w:sz w:val="32"/>
          <w:szCs w:val="32"/>
          <w:shd w:val="clear" w:color="auto" w:fill="FFFFFF"/>
          <w:lang w:val="en-US" w:eastAsia="zh-CN"/>
        </w:rPr>
      </w:pPr>
      <w:r>
        <w:rPr>
          <w:rFonts w:hint="eastAsia" w:ascii="Times New Roman" w:hAnsi="Times New Roman" w:eastAsia="方正仿宋_GBK" w:cs="方正仿宋_GBK"/>
          <w:b w:val="0"/>
          <w:bCs w:val="0"/>
          <w:color w:val="auto"/>
          <w:sz w:val="32"/>
          <w:szCs w:val="32"/>
        </w:rPr>
        <w:t>重庆市铜梁区维新镇乡村产业培育中心</w:t>
      </w:r>
      <w:r>
        <w:rPr>
          <w:rStyle w:val="7"/>
          <w:rFonts w:hint="eastAsia" w:ascii="Times New Roman" w:hAnsi="Times New Roman" w:eastAsia="方正仿宋_GBK" w:cs="方正仿宋_GBK"/>
          <w:b w:val="0"/>
          <w:bCs w:val="0"/>
          <w:color w:val="auto"/>
          <w:sz w:val="32"/>
          <w:szCs w:val="32"/>
          <w:shd w:val="clear" w:color="auto" w:fill="FFFFFF"/>
          <w:lang w:eastAsia="zh-CN"/>
        </w:rPr>
        <w:t>设主任</w:t>
      </w:r>
      <w:r>
        <w:rPr>
          <w:rStyle w:val="7"/>
          <w:rFonts w:hint="eastAsia" w:ascii="Times New Roman" w:hAnsi="Times New Roman" w:eastAsia="方正仿宋_GBK" w:cs="方正仿宋_GBK"/>
          <w:b w:val="0"/>
          <w:bCs w:val="0"/>
          <w:color w:val="auto"/>
          <w:sz w:val="32"/>
          <w:szCs w:val="32"/>
          <w:shd w:val="clear" w:color="auto" w:fill="FFFFFF"/>
          <w:lang w:val="en-US" w:eastAsia="zh-CN"/>
        </w:rPr>
        <w:t>1名，其宗旨是为乡村产业发展提供服务保障。</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hint="eastAsia" w:ascii="Times New Roman" w:hAnsi="Times New Roman" w:eastAsia="方正黑体_GBK" w:cs="方正黑体_GBK"/>
          <w:b w:val="0"/>
          <w:bCs w:val="0"/>
          <w:color w:val="auto"/>
          <w:sz w:val="32"/>
          <w:szCs w:val="32"/>
          <w:shd w:val="clear" w:color="auto" w:fill="FFFFFF"/>
        </w:rPr>
        <w:t>二、</w:t>
      </w:r>
      <w:r>
        <w:rPr>
          <w:rStyle w:val="7"/>
          <w:rFonts w:hint="eastAsia" w:ascii="Times New Roman" w:hAnsi="Times New Roman" w:eastAsia="方正黑体_GBK" w:cs="方正黑体_GBK"/>
          <w:b w:val="0"/>
          <w:bCs w:val="0"/>
          <w:color w:val="auto"/>
          <w:sz w:val="32"/>
          <w:szCs w:val="32"/>
          <w:shd w:val="clear" w:color="auto" w:fill="FFFFFF"/>
          <w:lang w:eastAsia="zh-CN"/>
        </w:rPr>
        <w:t>单位</w:t>
      </w:r>
      <w:r>
        <w:rPr>
          <w:rStyle w:val="7"/>
          <w:rFonts w:hint="eastAsia" w:ascii="Times New Roman" w:hAnsi="Times New Roman" w:eastAsia="方正黑体_GBK" w:cs="方正黑体_GBK"/>
          <w:b w:val="0"/>
          <w:bCs w:val="0"/>
          <w:color w:val="auto"/>
          <w:sz w:val="32"/>
          <w:szCs w:val="32"/>
          <w:shd w:val="clear" w:color="auto" w:fill="FFFFFF"/>
        </w:rPr>
        <w:t>决算</w:t>
      </w:r>
      <w:r>
        <w:rPr>
          <w:rStyle w:val="7"/>
          <w:rFonts w:hint="eastAsia" w:ascii="Times New Roman" w:hAnsi="Times New Roman" w:eastAsia="方正黑体_GBK" w:cs="方正黑体_GBK"/>
          <w:b w:val="0"/>
          <w:bCs w:val="0"/>
          <w:color w:val="auto"/>
          <w:sz w:val="32"/>
          <w:szCs w:val="32"/>
          <w:shd w:val="clear" w:color="auto" w:fill="FFFFFF"/>
          <w:lang w:eastAsia="zh-CN"/>
        </w:rPr>
        <w:t>收支</w:t>
      </w:r>
      <w:r>
        <w:rPr>
          <w:rStyle w:val="7"/>
          <w:rFonts w:hint="eastAsia" w:ascii="Times New Roman" w:hAnsi="Times New Roman" w:eastAsia="方正黑体_GBK" w:cs="方正黑体_GBK"/>
          <w:b w:val="0"/>
          <w:bCs w:val="0"/>
          <w:color w:val="auto"/>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1.总体情况。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度收入总计47.51万元，支出总计</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万元。收、支与2023年度相比，增加47.51万元，增长100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度收入合计47.51万元，与2023年度相比，增加47.51万元，增长100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ascii="Times New Roman" w:hAnsi="Times New Roman" w:eastAsia="方正仿宋_GBK" w:cs="方正仿宋_GBK"/>
          <w:b w:val="0"/>
          <w:bCs w:val="0"/>
          <w:color w:val="auto"/>
          <w:sz w:val="32"/>
          <w:szCs w:val="32"/>
          <w:shd w:val="clear" w:color="auto" w:fill="FFFFFF"/>
        </w:rPr>
        <w:t>其中：财政拨款收入</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100</w:t>
      </w:r>
      <w:r>
        <w:rPr>
          <w:rFonts w:hint="eastAsia" w:ascii="Times New Roman" w:hAnsi="Times New Roman" w:eastAsia="方正仿宋_GBK" w:cs="方正仿宋_GBK"/>
          <w:b w:val="0"/>
          <w:bCs w:val="0"/>
          <w:color w:val="auto"/>
          <w:sz w:val="32"/>
          <w:szCs w:val="32"/>
          <w:lang w:val="en-US" w:eastAsia="zh-CN"/>
        </w:rPr>
        <w:t>.0</w:t>
      </w:r>
      <w:r>
        <w:rPr>
          <w:rFonts w:ascii="Times New Roman" w:hAnsi="Times New Roman" w:eastAsia="方正仿宋_GBK" w:cs="方正仿宋_GBK"/>
          <w:b w:val="0"/>
          <w:bCs w:val="0"/>
          <w:color w:val="auto"/>
          <w:sz w:val="32"/>
          <w:szCs w:val="32"/>
          <w:shd w:val="clear" w:color="auto" w:fill="FFFFFF"/>
        </w:rPr>
        <w:t>%；事业收入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万元，占0%；其他收入</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万元，占0%。此外，使用非财政拨款结余和专用结余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万元，年初结转和结余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3.支出情况。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度支出合计</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万元，与2023年度相比，增加47.51万元，增长100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其中：基本支出</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万元，占100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%；项目支出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万元，占0%；经营支出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万元，占0%。此外，结余分配</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4.结转结余情况。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度财政拨款收、支总计47.51万元。与202</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年相比，财政拨款收、支总计各增加47.51万元，增长100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1.收入情况。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度一般公共预算财政拨款收入</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万元，与2023年度相比，增加47.51万元，增长100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较年初预算数减少3.49万元，下降6.8%。主要原因是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此外，年初财政拨款结转和结余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2.支出情况。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万元，与2023年度相比，增加47.51万元，增长100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较年初预算数减少3.49万元，下降6.8%。主要原因是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Style w:val="7"/>
          <w:rFonts w:ascii="Times New Roman" w:hAnsi="Times New Roman" w:eastAsia="方正仿宋_GBK" w:cs="方正仿宋_GBK"/>
          <w:b w:val="0"/>
          <w:bCs w:val="0"/>
          <w:color w:val="auto"/>
          <w:sz w:val="32"/>
          <w:szCs w:val="32"/>
          <w:shd w:val="clear" w:color="auto" w:fill="FFFFFF"/>
        </w:rPr>
        <w:t>3.结转结余情况。</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度年末一般公共预算财政拨款结转和结余</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本年度无年末结转和结余。</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ascii="Times New Roman" w:hAnsi="Times New Roman" w:eastAsia="方正仿宋_GBK" w:cs="方正仿宋_GBK"/>
          <w:b w:val="0"/>
          <w:bCs w:val="0"/>
          <w:color w:val="auto"/>
          <w:sz w:val="32"/>
          <w:szCs w:val="32"/>
          <w:shd w:val="clear" w:color="auto" w:fill="FFFFFF"/>
        </w:rPr>
      </w:pPr>
      <w:r>
        <w:rPr>
          <w:rStyle w:val="7"/>
          <w:rFonts w:ascii="Times New Roman" w:hAnsi="Times New Roman" w:eastAsia="方正仿宋_GBK" w:cs="方正仿宋_GBK"/>
          <w:b w:val="0"/>
          <w:bCs w:val="0"/>
          <w:color w:val="auto"/>
          <w:sz w:val="32"/>
          <w:szCs w:val="32"/>
          <w:shd w:val="clear" w:color="auto" w:fill="FFFFFF"/>
        </w:rPr>
        <w:t>4.比较情况。</w:t>
      </w:r>
      <w:r>
        <w:rPr>
          <w:rFonts w:ascii="Times New Roman" w:hAnsi="Times New Roman" w:eastAsia="方正仿宋_GBK" w:cs="方正仿宋_GBK"/>
          <w:b w:val="0"/>
          <w:bCs w:val="0"/>
          <w:color w:val="auto"/>
          <w:sz w:val="32"/>
          <w:szCs w:val="32"/>
          <w:shd w:val="clear" w:color="auto" w:fill="FFFFFF"/>
        </w:rPr>
        <w:t>本单位</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（1）社会保障与就业支出</w:t>
      </w:r>
      <w:r>
        <w:rPr>
          <w:rFonts w:ascii="Times New Roman" w:hAnsi="Times New Roman" w:eastAsia="方正仿宋_GBK" w:cs="方正仿宋_GBK"/>
          <w:b w:val="0"/>
          <w:bCs w:val="0"/>
          <w:color w:val="auto"/>
          <w:sz w:val="32"/>
          <w:szCs w:val="32"/>
        </w:rPr>
        <w:t>3.09</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6.5</w:t>
      </w:r>
      <w:r>
        <w:rPr>
          <w:rFonts w:ascii="Times New Roman" w:hAnsi="Times New Roman" w:eastAsia="方正仿宋_GBK" w:cs="方正仿宋_GBK"/>
          <w:b w:val="0"/>
          <w:bCs w:val="0"/>
          <w:color w:val="auto"/>
          <w:sz w:val="32"/>
          <w:szCs w:val="32"/>
          <w:shd w:val="clear" w:color="auto" w:fill="FFFFFF"/>
        </w:rPr>
        <w:t>%，较年初预算数增加0.11万元，增长3.7%，主要原因是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2</w:t>
      </w:r>
      <w:r>
        <w:rPr>
          <w:rFonts w:ascii="Times New Roman" w:hAnsi="Times New Roman" w:eastAsia="方正仿宋_GBK" w:cs="方正仿宋_GBK"/>
          <w:b w:val="0"/>
          <w:bCs w:val="0"/>
          <w:color w:val="auto"/>
          <w:sz w:val="32"/>
          <w:szCs w:val="32"/>
          <w:shd w:val="clear" w:color="auto" w:fill="FFFFFF"/>
        </w:rPr>
        <w:t>）卫生健康支出</w:t>
      </w:r>
      <w:r>
        <w:rPr>
          <w:rFonts w:ascii="Times New Roman" w:hAnsi="Times New Roman" w:eastAsia="方正仿宋_GBK" w:cs="方正仿宋_GBK"/>
          <w:b w:val="0"/>
          <w:bCs w:val="0"/>
          <w:color w:val="auto"/>
          <w:sz w:val="32"/>
          <w:szCs w:val="32"/>
        </w:rPr>
        <w:t>1.45</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3.0</w:t>
      </w:r>
      <w:r>
        <w:rPr>
          <w:rFonts w:ascii="Times New Roman" w:hAnsi="Times New Roman" w:eastAsia="方正仿宋_GBK" w:cs="方正仿宋_GBK"/>
          <w:b w:val="0"/>
          <w:bCs w:val="0"/>
          <w:color w:val="auto"/>
          <w:sz w:val="32"/>
          <w:szCs w:val="32"/>
          <w:shd w:val="clear" w:color="auto" w:fill="FFFFFF"/>
        </w:rPr>
        <w:t>%，较年初预算数减少0.17万元，下降10.5%，主要原因是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eastAsia" w:ascii="Times New Roman" w:hAnsi="Times New Roman" w:eastAsia="方正仿宋_GBK" w:cs="方正仿宋_GBK"/>
          <w:b w:val="0"/>
          <w:bCs w:val="0"/>
          <w:color w:val="auto"/>
          <w:sz w:val="32"/>
          <w:szCs w:val="32"/>
          <w:shd w:val="clear" w:color="auto" w:fill="FFFFFF"/>
          <w:lang w:eastAsia="zh-CN"/>
        </w:rPr>
      </w:pPr>
      <w:r>
        <w:rPr>
          <w:rFonts w:ascii="Times New Roman" w:hAnsi="Times New Roman" w:eastAsia="方正仿宋_GBK" w:cs="方正仿宋_GBK"/>
          <w:b w:val="0"/>
          <w:bCs w:val="0"/>
          <w:color w:val="auto"/>
          <w:sz w:val="32"/>
          <w:szCs w:val="32"/>
          <w:shd w:val="clear" w:color="auto" w:fill="FFFFFF"/>
        </w:rPr>
        <w:t>（</w:t>
      </w:r>
      <w:r>
        <w:rPr>
          <w:rFonts w:hint="eastAsia" w:ascii="Times New Roman" w:hAnsi="Times New Roman" w:eastAsia="方正仿宋_GBK" w:cs="方正仿宋_GBK"/>
          <w:b w:val="0"/>
          <w:bCs w:val="0"/>
          <w:color w:val="auto"/>
          <w:sz w:val="32"/>
          <w:szCs w:val="32"/>
          <w:shd w:val="clear" w:color="auto" w:fill="FFFFFF"/>
          <w:lang w:val="en-US" w:eastAsia="zh-CN"/>
        </w:rPr>
        <w:t>3</w:t>
      </w:r>
      <w:r>
        <w:rPr>
          <w:rFonts w:ascii="Times New Roman" w:hAnsi="Times New Roman" w:eastAsia="方正仿宋_GBK" w:cs="方正仿宋_GBK"/>
          <w:b w:val="0"/>
          <w:bCs w:val="0"/>
          <w:color w:val="auto"/>
          <w:sz w:val="32"/>
          <w:szCs w:val="32"/>
          <w:shd w:val="clear" w:color="auto" w:fill="FFFFFF"/>
        </w:rPr>
        <w:t>）农林水支出</w:t>
      </w:r>
      <w:r>
        <w:rPr>
          <w:rFonts w:ascii="Times New Roman" w:hAnsi="Times New Roman" w:eastAsia="方正仿宋_GBK" w:cs="方正仿宋_GBK"/>
          <w:b w:val="0"/>
          <w:bCs w:val="0"/>
          <w:color w:val="auto"/>
          <w:sz w:val="32"/>
          <w:szCs w:val="32"/>
        </w:rPr>
        <w:t>41.73</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87.</w:t>
      </w:r>
      <w:r>
        <w:rPr>
          <w:rFonts w:hint="eastAsia" w:ascii="Times New Roman" w:hAnsi="Times New Roman" w:eastAsia="方正仿宋_GBK" w:cs="方正仿宋_GBK"/>
          <w:b w:val="0"/>
          <w:bCs w:val="0"/>
          <w:color w:val="auto"/>
          <w:sz w:val="32"/>
          <w:szCs w:val="32"/>
          <w:lang w:val="en-US" w:eastAsia="zh-CN"/>
        </w:rPr>
        <w:t>9</w:t>
      </w:r>
      <w:r>
        <w:rPr>
          <w:rFonts w:ascii="Times New Roman" w:hAnsi="Times New Roman" w:eastAsia="方正仿宋_GBK" w:cs="方正仿宋_GBK"/>
          <w:b w:val="0"/>
          <w:bCs w:val="0"/>
          <w:color w:val="auto"/>
          <w:sz w:val="32"/>
          <w:szCs w:val="32"/>
          <w:shd w:val="clear" w:color="auto" w:fill="FFFFFF"/>
        </w:rPr>
        <w:t>%，较年初预算数减少3.17万元，下降7.1%，主要原因是</w:t>
      </w:r>
      <w:r>
        <w:rPr>
          <w:rFonts w:hint="eastAsia" w:ascii="Times New Roman" w:hAnsi="Times New Roman" w:eastAsia="方正仿宋_GBK" w:cs="方正仿宋_GBK"/>
          <w:b w:val="0"/>
          <w:bCs w:val="0"/>
          <w:color w:val="auto"/>
          <w:sz w:val="32"/>
          <w:szCs w:val="32"/>
          <w:shd w:val="clear" w:color="auto" w:fill="FFFFFF"/>
          <w:lang w:eastAsia="zh-CN"/>
        </w:rPr>
        <w:t>本年项目支出减少。</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shd w:val="clear" w:color="auto" w:fill="FFFFFF"/>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lang w:eastAsia="zh-CN"/>
        </w:rPr>
        <w:t>（</w:t>
      </w:r>
      <w:r>
        <w:rPr>
          <w:rFonts w:hint="eastAsia" w:ascii="Times New Roman" w:hAnsi="Times New Roman" w:eastAsia="方正仿宋_GBK" w:cs="方正仿宋_GBK"/>
          <w:b w:val="0"/>
          <w:bCs w:val="0"/>
          <w:color w:val="auto"/>
          <w:sz w:val="32"/>
          <w:szCs w:val="32"/>
          <w:lang w:val="en-US" w:eastAsia="zh-CN"/>
        </w:rPr>
        <w:t>4）</w:t>
      </w:r>
      <w:r>
        <w:rPr>
          <w:rFonts w:ascii="Times New Roman" w:hAnsi="Times New Roman" w:eastAsia="方正仿宋_GBK" w:cs="方正仿宋_GBK"/>
          <w:b w:val="0"/>
          <w:bCs w:val="0"/>
          <w:color w:val="auto"/>
          <w:sz w:val="32"/>
          <w:szCs w:val="32"/>
        </w:rPr>
        <w:t>住房保障支出1.24</w:t>
      </w:r>
      <w:r>
        <w:rPr>
          <w:rFonts w:ascii="Times New Roman" w:hAnsi="Times New Roman" w:eastAsia="方正仿宋_GBK" w:cs="方正仿宋_GBK"/>
          <w:b w:val="0"/>
          <w:bCs w:val="0"/>
          <w:color w:val="auto"/>
          <w:sz w:val="32"/>
          <w:szCs w:val="32"/>
          <w:shd w:val="clear" w:color="auto" w:fill="FFFFFF"/>
        </w:rPr>
        <w:t>万元，占</w:t>
      </w:r>
      <w:r>
        <w:rPr>
          <w:rFonts w:ascii="Times New Roman" w:hAnsi="Times New Roman" w:eastAsia="方正仿宋_GBK" w:cs="方正仿宋_GBK"/>
          <w:b w:val="0"/>
          <w:bCs w:val="0"/>
          <w:color w:val="auto"/>
          <w:sz w:val="32"/>
          <w:szCs w:val="32"/>
        </w:rPr>
        <w:t>2.6</w:t>
      </w:r>
      <w:r>
        <w:rPr>
          <w:rFonts w:ascii="Times New Roman" w:hAnsi="Times New Roman" w:eastAsia="方正仿宋_GBK" w:cs="方正仿宋_GBK"/>
          <w:b w:val="0"/>
          <w:bCs w:val="0"/>
          <w:color w:val="auto"/>
          <w:sz w:val="32"/>
          <w:szCs w:val="32"/>
          <w:shd w:val="clear" w:color="auto" w:fill="FFFFFF"/>
        </w:rPr>
        <w:t>%，较年初预算数减少0.25万元，下降16.8%，主要原因是</w:t>
      </w:r>
      <w:r>
        <w:rPr>
          <w:rFonts w:hint="eastAsia" w:ascii="Times New Roman" w:hAnsi="Times New Roman" w:eastAsia="方正仿宋_GBK" w:cs="方正仿宋_GBK"/>
          <w:b w:val="0"/>
          <w:bCs w:val="0"/>
          <w:color w:val="auto"/>
          <w:sz w:val="32"/>
          <w:szCs w:val="32"/>
          <w:shd w:val="clear" w:color="auto" w:fill="FFFFFF"/>
          <w:lang w:eastAsia="zh-CN"/>
        </w:rPr>
        <w:t>本年事业单位社保及公积金缴纳金额不足，各单位互相垫支</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度一般公共财政拨款基本支出</w:t>
      </w:r>
      <w:r>
        <w:rPr>
          <w:rFonts w:ascii="Times New Roman" w:hAnsi="Times New Roman" w:eastAsia="方正仿宋_GBK" w:cs="方正仿宋_GBK"/>
          <w:b w:val="0"/>
          <w:bCs w:val="0"/>
          <w:color w:val="auto"/>
          <w:sz w:val="32"/>
          <w:szCs w:val="32"/>
        </w:rPr>
        <w:t>47.51</w:t>
      </w:r>
      <w:r>
        <w:rPr>
          <w:rFonts w:ascii="Times New Roman" w:hAnsi="Times New Roman" w:eastAsia="方正仿宋_GBK" w:cs="方正仿宋_GBK"/>
          <w:b w:val="0"/>
          <w:bCs w:val="0"/>
          <w:color w:val="auto"/>
          <w:sz w:val="32"/>
          <w:szCs w:val="32"/>
          <w:shd w:val="clear" w:color="auto" w:fill="FFFFFF"/>
        </w:rPr>
        <w:t>万元。其中：人员经费</w:t>
      </w:r>
      <w:r>
        <w:rPr>
          <w:rFonts w:ascii="Times New Roman" w:hAnsi="Times New Roman" w:eastAsia="方正仿宋_GBK" w:cs="方正仿宋_GBK"/>
          <w:b w:val="0"/>
          <w:bCs w:val="0"/>
          <w:color w:val="auto"/>
          <w:sz w:val="32"/>
          <w:szCs w:val="32"/>
        </w:rPr>
        <w:t>32.7</w:t>
      </w:r>
      <w:r>
        <w:rPr>
          <w:rFonts w:ascii="Times New Roman" w:hAnsi="Times New Roman" w:eastAsia="方正仿宋_GBK" w:cs="方正仿宋_GBK"/>
          <w:b w:val="0"/>
          <w:bCs w:val="0"/>
          <w:color w:val="auto"/>
          <w:sz w:val="32"/>
          <w:szCs w:val="32"/>
          <w:shd w:val="clear" w:color="auto" w:fill="FFFFFF"/>
        </w:rPr>
        <w:t>万元，与2023年度相比，增加32.7万元，增长100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hint="default" w:ascii="Times New Roman" w:hAnsi="Times New Roman" w:eastAsia="方正仿宋_GBK" w:cs="方正仿宋_GBK"/>
          <w:b w:val="0"/>
          <w:bCs w:val="0"/>
          <w:color w:val="auto"/>
          <w:sz w:val="32"/>
          <w:szCs w:val="32"/>
        </w:rPr>
        <w:t>。</w:t>
      </w:r>
      <w:r>
        <w:rPr>
          <w:rFonts w:ascii="Times New Roman" w:hAnsi="Times New Roman" w:eastAsia="方正仿宋_GBK" w:cs="方正仿宋_GBK"/>
          <w:b w:val="0"/>
          <w:bCs w:val="0"/>
          <w:color w:val="auto"/>
          <w:sz w:val="32"/>
          <w:szCs w:val="32"/>
          <w:shd w:val="clear" w:color="auto" w:fill="FFFFFF"/>
        </w:rPr>
        <w:t>人员经费用途主要包括</w:t>
      </w:r>
      <w:r>
        <w:rPr>
          <w:rFonts w:hint="eastAsia" w:ascii="Times New Roman" w:hAnsi="Times New Roman" w:eastAsia="方正仿宋_GBK" w:cs="方正仿宋_GBK"/>
          <w:b w:val="0"/>
          <w:bCs w:val="0"/>
          <w:color w:val="auto"/>
          <w:sz w:val="32"/>
          <w:szCs w:val="32"/>
          <w:shd w:val="clear" w:color="auto" w:fill="FFFFFF"/>
          <w:lang w:eastAsia="zh-CN"/>
        </w:rPr>
        <w:t>发放人员基本工资、津贴补贴、绩效工资、社保待遇等</w:t>
      </w:r>
      <w:r>
        <w:rPr>
          <w:rFonts w:ascii="Times New Roman" w:hAnsi="Times New Roman" w:eastAsia="方正仿宋_GBK" w:cs="方正仿宋_GBK"/>
          <w:b w:val="0"/>
          <w:bCs w:val="0"/>
          <w:color w:val="auto"/>
          <w:sz w:val="32"/>
          <w:szCs w:val="32"/>
          <w:shd w:val="clear" w:color="auto" w:fill="FFFFFF"/>
        </w:rPr>
        <w:t>。公用经费</w:t>
      </w:r>
      <w:r>
        <w:rPr>
          <w:rFonts w:ascii="Times New Roman" w:hAnsi="Times New Roman" w:eastAsia="方正仿宋_GBK" w:cs="方正仿宋_GBK"/>
          <w:b w:val="0"/>
          <w:bCs w:val="0"/>
          <w:color w:val="auto"/>
          <w:sz w:val="32"/>
          <w:szCs w:val="32"/>
        </w:rPr>
        <w:t>14.8</w:t>
      </w:r>
      <w:r>
        <w:rPr>
          <w:rFonts w:ascii="Times New Roman" w:hAnsi="Times New Roman" w:eastAsia="方正仿宋_GBK" w:cs="方正仿宋_GBK"/>
          <w:b w:val="0"/>
          <w:bCs w:val="0"/>
          <w:color w:val="auto"/>
          <w:sz w:val="32"/>
          <w:szCs w:val="32"/>
          <w:shd w:val="clear" w:color="auto" w:fill="FFFFFF"/>
        </w:rPr>
        <w:t>万元，与2023年度相比，增加14.8万元，增长100</w:t>
      </w:r>
      <w:r>
        <w:rPr>
          <w:rFonts w:hint="eastAsia" w:ascii="Times New Roman" w:hAnsi="Times New Roman" w:eastAsia="方正仿宋_GBK" w:cs="方正仿宋_GBK"/>
          <w:b w:val="0"/>
          <w:bCs w:val="0"/>
          <w:color w:val="auto"/>
          <w:sz w:val="32"/>
          <w:szCs w:val="32"/>
          <w:shd w:val="clear" w:color="auto" w:fill="FFFFFF"/>
          <w:lang w:val="en-US" w:eastAsia="zh-CN"/>
        </w:rPr>
        <w:t>.0</w:t>
      </w:r>
      <w:bookmarkStart w:id="0" w:name="_GoBack"/>
      <w:bookmarkEnd w:id="0"/>
      <w:r>
        <w:rPr>
          <w:rFonts w:ascii="Times New Roman" w:hAnsi="Times New Roman" w:eastAsia="方正仿宋_GBK" w:cs="方正仿宋_GBK"/>
          <w:b w:val="0"/>
          <w:bCs w:val="0"/>
          <w:color w:val="auto"/>
          <w:sz w:val="32"/>
          <w:szCs w:val="32"/>
          <w:shd w:val="clear" w:color="auto" w:fill="FFFFFF"/>
        </w:rPr>
        <w:t>%，主要原因是</w:t>
      </w:r>
      <w:r>
        <w:rPr>
          <w:rFonts w:hint="default" w:ascii="Times New Roman" w:hAnsi="Times New Roman" w:eastAsia="方正仿宋_GBK" w:cs="方正仿宋_GBK"/>
          <w:b w:val="0"/>
          <w:bCs w:val="0"/>
          <w:color w:val="auto"/>
          <w:sz w:val="32"/>
          <w:szCs w:val="32"/>
        </w:rPr>
        <w:t>按照部门决算列报口径，</w:t>
      </w:r>
      <w:r>
        <w:rPr>
          <w:rFonts w:hint="eastAsia" w:ascii="Times New Roman" w:hAnsi="Times New Roman" w:eastAsia="方正仿宋_GBK" w:cs="方正仿宋_GBK"/>
          <w:b w:val="0"/>
          <w:bCs w:val="0"/>
          <w:color w:val="auto"/>
          <w:sz w:val="32"/>
          <w:szCs w:val="32"/>
          <w:lang w:eastAsia="zh-CN"/>
        </w:rPr>
        <w:t>政府下属事业</w:t>
      </w:r>
      <w:r>
        <w:rPr>
          <w:rFonts w:hint="default" w:ascii="Times New Roman" w:hAnsi="Times New Roman" w:eastAsia="方正仿宋_GBK" w:cs="方正仿宋_GBK"/>
          <w:b w:val="0"/>
          <w:bCs w:val="0"/>
          <w:color w:val="auto"/>
          <w:sz w:val="32"/>
          <w:szCs w:val="32"/>
        </w:rPr>
        <w:t>单位不在机关</w:t>
      </w:r>
      <w:r>
        <w:rPr>
          <w:rFonts w:hint="eastAsia" w:ascii="Times New Roman" w:hAnsi="Times New Roman" w:eastAsia="方正仿宋_GBK" w:cs="方正仿宋_GBK"/>
          <w:b w:val="0"/>
          <w:bCs w:val="0"/>
          <w:color w:val="auto"/>
          <w:sz w:val="32"/>
          <w:szCs w:val="32"/>
          <w:lang w:eastAsia="zh-CN"/>
        </w:rPr>
        <w:t>收入支出决算</w:t>
      </w:r>
      <w:r>
        <w:rPr>
          <w:rFonts w:hint="default" w:ascii="Times New Roman" w:hAnsi="Times New Roman" w:eastAsia="方正仿宋_GBK" w:cs="方正仿宋_GBK"/>
          <w:b w:val="0"/>
          <w:bCs w:val="0"/>
          <w:color w:val="auto"/>
          <w:sz w:val="32"/>
          <w:szCs w:val="32"/>
        </w:rPr>
        <w:t>统计范围之内</w:t>
      </w:r>
      <w:r>
        <w:rPr>
          <w:rFonts w:hint="eastAsia" w:ascii="Times New Roman" w:hAnsi="Times New Roman" w:eastAsia="方正仿宋_GBK" w:cs="方正仿宋_GBK"/>
          <w:b w:val="0"/>
          <w:bCs w:val="0"/>
          <w:color w:val="auto"/>
          <w:sz w:val="32"/>
          <w:szCs w:val="32"/>
          <w:lang w:eastAsia="zh-CN"/>
        </w:rPr>
        <w:t>，进行单独决算统计</w:t>
      </w:r>
      <w:r>
        <w:rPr>
          <w:rFonts w:ascii="Times New Roman" w:hAnsi="Times New Roman" w:eastAsia="方正仿宋_GBK" w:cs="方正仿宋_GBK"/>
          <w:b w:val="0"/>
          <w:bCs w:val="0"/>
          <w:color w:val="auto"/>
          <w:sz w:val="32"/>
          <w:szCs w:val="32"/>
          <w:shd w:val="clear" w:color="auto" w:fill="FFFFFF"/>
        </w:rPr>
        <w:t>。公用经费用途主要包括</w:t>
      </w:r>
      <w:r>
        <w:rPr>
          <w:rFonts w:hint="eastAsia" w:ascii="Times New Roman" w:hAnsi="Times New Roman" w:eastAsia="方正仿宋_GBK" w:cs="方正仿宋_GBK"/>
          <w:b w:val="0"/>
          <w:bCs w:val="0"/>
          <w:color w:val="auto"/>
          <w:sz w:val="32"/>
          <w:szCs w:val="32"/>
          <w:shd w:val="clear" w:color="auto" w:fill="FFFFFF"/>
          <w:lang w:eastAsia="zh-CN"/>
        </w:rPr>
        <w:t>开支办公经费、维修（护）费、委托业务费、工会经费、印刷费、水电费等</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hint="default" w:ascii="Times New Roman" w:hAnsi="Times New Roman" w:eastAsia="方正仿宋_GBK" w:cs="方正仿宋_GBK"/>
          <w:b w:val="0"/>
          <w:bCs w:val="0"/>
          <w:color w:val="auto"/>
          <w:sz w:val="32"/>
          <w:szCs w:val="32"/>
        </w:rPr>
      </w:pPr>
      <w:r>
        <w:rPr>
          <w:rFonts w:hint="default" w:ascii="Times New Roman" w:hAnsi="Times New Roman" w:eastAsia="方正仿宋_GBK" w:cs="方正仿宋_GBK"/>
          <w:b w:val="0"/>
          <w:bCs w:val="0"/>
          <w:color w:val="auto"/>
          <w:sz w:val="32"/>
          <w:szCs w:val="32"/>
        </w:rPr>
        <w:t>本单位</w:t>
      </w:r>
      <w:r>
        <w:rPr>
          <w:rFonts w:hint="eastAsia" w:ascii="Times New Roman" w:hAnsi="Times New Roman" w:eastAsia="方正仿宋_GBK" w:cs="方正仿宋_GBK"/>
          <w:b w:val="0"/>
          <w:bCs w:val="0"/>
          <w:color w:val="auto"/>
          <w:sz w:val="32"/>
          <w:szCs w:val="32"/>
          <w:lang w:eastAsia="zh-CN"/>
        </w:rPr>
        <w:t>2024年</w:t>
      </w:r>
      <w:r>
        <w:rPr>
          <w:rFonts w:hint="default" w:ascii="Times New Roman" w:hAnsi="Times New Roman" w:eastAsia="方正仿宋_GBK" w:cs="方正仿宋_GBK"/>
          <w:b w:val="0"/>
          <w:bCs w:val="0"/>
          <w:color w:val="auto"/>
          <w:sz w:val="32"/>
          <w:szCs w:val="32"/>
        </w:rPr>
        <w:t>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240" w:lineRule="auto"/>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（六）国有资本经营预算财政拨款支出决算情况说明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default" w:ascii="Times New Roman" w:hAnsi="Times New Roman" w:eastAsia="方正仿宋_GBK" w:cs="方正仿宋_GBK"/>
          <w:b w:val="0"/>
          <w:bCs w:val="0"/>
          <w:color w:val="auto"/>
          <w:sz w:val="32"/>
          <w:szCs w:val="32"/>
        </w:rPr>
        <w:t>本单位</w:t>
      </w:r>
      <w:r>
        <w:rPr>
          <w:rFonts w:hint="eastAsia" w:ascii="Times New Roman" w:hAnsi="Times New Roman" w:eastAsia="方正仿宋_GBK" w:cs="方正仿宋_GBK"/>
          <w:b w:val="0"/>
          <w:bCs w:val="0"/>
          <w:color w:val="auto"/>
          <w:sz w:val="32"/>
          <w:szCs w:val="32"/>
          <w:lang w:eastAsia="zh-CN"/>
        </w:rPr>
        <w:t>2024年</w:t>
      </w:r>
      <w:r>
        <w:rPr>
          <w:rFonts w:hint="default" w:ascii="Times New Roman" w:hAnsi="Times New Roman" w:eastAsia="方正仿宋_GBK" w:cs="方正仿宋_GBK"/>
          <w:b w:val="0"/>
          <w:bCs w:val="0"/>
          <w:color w:val="auto"/>
          <w:sz w:val="32"/>
          <w:szCs w:val="32"/>
        </w:rPr>
        <w:t>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三、</w:t>
      </w:r>
      <w:r>
        <w:rPr>
          <w:rStyle w:val="7"/>
          <w:rFonts w:hint="eastAsia" w:ascii="Times New Roman" w:hAnsi="Times New Roman" w:eastAsia="方正黑体_GBK" w:cs="方正黑体_GBK"/>
          <w:b w:val="0"/>
          <w:bCs w:val="0"/>
          <w:color w:val="auto"/>
          <w:sz w:val="32"/>
          <w:szCs w:val="32"/>
          <w:shd w:val="clear" w:color="auto" w:fill="FFFFFF"/>
          <w:lang w:eastAsia="zh-CN"/>
        </w:rPr>
        <w:t>财政拨款</w:t>
      </w:r>
      <w:r>
        <w:rPr>
          <w:rStyle w:val="7"/>
          <w:rFonts w:hint="eastAsia" w:ascii="Times New Roman" w:hAnsi="Times New Roman" w:eastAsia="方正黑体_GBK" w:cs="方正黑体_GBK"/>
          <w:b w:val="0"/>
          <w:bCs w:val="0"/>
          <w:color w:val="auto"/>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度“三公”经费支出共计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万元，较年初预算数无增减，主要原因是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。较上年支出数无增减，主要原因是</w:t>
      </w:r>
      <w:r>
        <w:rPr>
          <w:rFonts w:hint="eastAsia" w:ascii="Times New Roman" w:hAnsi="Times New Roman" w:eastAsia="方正仿宋_GBK" w:cs="方正仿宋_GBK"/>
          <w:b w:val="0"/>
          <w:bCs w:val="0"/>
          <w:color w:val="auto"/>
          <w:sz w:val="32"/>
          <w:szCs w:val="32"/>
          <w:shd w:val="clear" w:color="auto" w:fill="FFFFFF"/>
          <w:lang w:eastAsia="zh-CN"/>
        </w:rPr>
        <w:t>本单位未单独预算</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w:t>
      </w:r>
      <w:r>
        <w:rPr>
          <w:rFonts w:ascii="Times New Roman" w:hAnsi="Times New Roman" w:eastAsia="方正仿宋_GBK" w:cs="方正仿宋_GBK"/>
          <w:b w:val="0"/>
          <w:bCs w:val="0"/>
          <w:color w:val="auto"/>
          <w:sz w:val="32"/>
          <w:szCs w:val="32"/>
          <w:shd w:val="clear" w:color="auto" w:fill="FFFFFF"/>
        </w:rPr>
        <w:t>“三公”经费</w:t>
      </w:r>
      <w:r>
        <w:rPr>
          <w:rFonts w:hint="eastAsia" w:ascii="Times New Roman" w:hAnsi="Times New Roman" w:eastAsia="方正仿宋_GBK" w:cs="方正仿宋_GBK"/>
          <w:b w:val="0"/>
          <w:bCs w:val="0"/>
          <w:color w:val="auto"/>
          <w:sz w:val="32"/>
          <w:szCs w:val="32"/>
          <w:shd w:val="clear" w:color="auto" w:fill="FFFFFF"/>
          <w:lang w:eastAsia="zh-CN"/>
        </w:rPr>
        <w:t>均在机关经费中列支</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度本单位因公出国（境）费用</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公务车运行维护费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公务接待费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万元，费用支出较年初预算数无增减，较上年支出数无增减，</w:t>
      </w:r>
      <w:r>
        <w:rPr>
          <w:rFonts w:hint="eastAsia" w:ascii="Times New Roman" w:hAnsi="Times New Roman" w:eastAsia="方正仿宋_GBK" w:cs="方正仿宋_GBK"/>
          <w:b w:val="0"/>
          <w:bCs w:val="0"/>
          <w:color w:val="auto"/>
          <w:sz w:val="32"/>
          <w:szCs w:val="32"/>
          <w:shd w:val="clear" w:color="auto" w:fill="FFFFFF"/>
          <w:lang w:eastAsia="zh-CN"/>
        </w:rPr>
        <w:t>与上年度决算数持平</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度本单位因公出国（境）共计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个团组，</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人；公务用车购置</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辆，公务车保有量为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辆；国内公务接待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人，其中：国内外事接待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人；国（境）外公务接待</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批次，</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人。</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本单位人均接待费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元，车均购置费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万元，车均维护费</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default"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rPr>
        <w:t>四、其他需要说明的事项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本年度会议费支出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万元，与2023年度相比，无增减，主要原因是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厉行节俭，缩减会议支出</w:t>
      </w:r>
      <w:r>
        <w:rPr>
          <w:rFonts w:ascii="Times New Roman" w:hAnsi="Times New Roman" w:eastAsia="方正仿宋_GBK" w:cs="方正仿宋_GBK"/>
          <w:b w:val="0"/>
          <w:bCs w:val="0"/>
          <w:color w:val="auto"/>
          <w:sz w:val="32"/>
          <w:szCs w:val="32"/>
          <w:shd w:val="clear" w:color="auto" w:fill="FFFFFF"/>
        </w:rPr>
        <w:t>。本年度培训费支出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万元，与2023年度相比，无变化，主要原因是</w:t>
      </w:r>
      <w:r>
        <w:rPr>
          <w:rFonts w:hint="eastAsia" w:ascii="Times New Roman" w:hAnsi="Times New Roman" w:eastAsia="方正仿宋_GBK" w:cs="方正仿宋_GBK"/>
          <w:b w:val="0"/>
          <w:bCs w:val="0"/>
          <w:color w:val="auto"/>
          <w:sz w:val="32"/>
          <w:szCs w:val="32"/>
          <w:shd w:val="clear" w:color="auto" w:fill="FFFFFF"/>
          <w:lang w:eastAsia="zh-CN"/>
        </w:rPr>
        <w:t>厉行节俭，缩减培训支出</w:t>
      </w:r>
      <w:r>
        <w:rPr>
          <w:rFonts w:ascii="Times New Roman" w:hAnsi="Times New Roman" w:eastAsia="方正仿宋_GBK" w:cs="方正仿宋_GBK"/>
          <w:b w:val="0"/>
          <w:bCs w:val="0"/>
          <w:color w:val="auto"/>
          <w:sz w:val="32"/>
          <w:szCs w:val="32"/>
          <w:shd w:val="clear" w:color="auto" w:fill="FFFFFF"/>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度本单位机关运行经费支出</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万元，</w:t>
      </w:r>
      <w:r>
        <w:rPr>
          <w:rFonts w:hint="default" w:ascii="Times New Roman" w:hAnsi="Times New Roman" w:eastAsia="方正仿宋_GBK" w:cs="方正仿宋_GBK"/>
          <w:b w:val="0"/>
          <w:bCs w:val="0"/>
          <w:color w:val="auto"/>
          <w:sz w:val="32"/>
          <w:szCs w:val="32"/>
        </w:rPr>
        <w:t>按照部门决算列报口径，我单位不在机关运行经费统计范围之内。</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（三）国有资产占用情况说明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rPr>
      </w:pPr>
      <w:r>
        <w:rPr>
          <w:rFonts w:ascii="Times New Roman" w:hAnsi="Times New Roman" w:eastAsia="方正仿宋_GBK" w:cs="方正仿宋_GBK"/>
          <w:b w:val="0"/>
          <w:bCs w:val="0"/>
          <w:color w:val="auto"/>
          <w:sz w:val="32"/>
          <w:szCs w:val="32"/>
          <w:shd w:val="clear" w:color="auto" w:fill="FFFFFF"/>
        </w:rPr>
        <w:t>截至</w:t>
      </w: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12月31日，本单位共有车辆</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辆，其中，副部（省）级及以上领导用车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辆、主要负责人用车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辆、机要通信用车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辆、应急保障用车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辆、执法执勤用车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辆，特种专业技术用车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辆，离退休干部用车</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辆。单价100万元（含）以上专用设备</w:t>
      </w:r>
      <w:r>
        <w:rPr>
          <w:rFonts w:ascii="Times New Roman" w:hAnsi="Times New Roman" w:eastAsia="方正仿宋_GBK" w:cs="方正仿宋_GBK"/>
          <w:b w:val="0"/>
          <w:bCs w:val="0"/>
          <w:color w:val="auto"/>
          <w:sz w:val="32"/>
          <w:szCs w:val="32"/>
        </w:rPr>
        <w:t>0</w:t>
      </w:r>
      <w:r>
        <w:rPr>
          <w:rFonts w:ascii="Times New Roman" w:hAnsi="Times New Roman" w:eastAsia="方正仿宋_GBK" w:cs="方正仿宋_GBK"/>
          <w:b w:val="0"/>
          <w:bCs w:val="0"/>
          <w:color w:val="auto"/>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0" w:firstLineChars="200"/>
        <w:textAlignment w:val="auto"/>
        <w:rPr>
          <w:rFonts w:ascii="Times New Roman" w:hAnsi="Times New Roman" w:eastAsia="楷体" w:cs="楷体"/>
          <w:b w:val="0"/>
          <w:bCs w:val="0"/>
          <w:color w:val="auto"/>
          <w:sz w:val="32"/>
          <w:szCs w:val="32"/>
          <w:shd w:val="clear" w:color="auto" w:fill="FFFFFF"/>
        </w:rPr>
      </w:pPr>
      <w:r>
        <w:rPr>
          <w:rFonts w:hint="eastAsia" w:ascii="Times New Roman" w:hAnsi="Times New Roman" w:eastAsia="楷体" w:cs="楷体"/>
          <w:b w:val="0"/>
          <w:bCs w:val="0"/>
          <w:color w:val="auto"/>
          <w:sz w:val="32"/>
          <w:szCs w:val="32"/>
          <w:shd w:val="clear" w:color="auto" w:fill="FFFFFF"/>
        </w:rPr>
        <w:t>（四）政府采购支出情况说明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640" w:firstLineChars="200"/>
        <w:jc w:val="both"/>
        <w:textAlignment w:val="auto"/>
        <w:rPr>
          <w:rFonts w:hint="default" w:ascii="Times New Roman" w:hAnsi="Times New Roman" w:eastAsia="方正仿宋_GBK" w:cs="方正仿宋_GBK"/>
          <w:b w:val="0"/>
          <w:bCs w:val="0"/>
          <w:color w:val="auto"/>
          <w:sz w:val="32"/>
          <w:szCs w:val="32"/>
          <w:shd w:val="clear" w:color="auto" w:fill="FFFFFF"/>
        </w:rPr>
      </w:pPr>
      <w:r>
        <w:rPr>
          <w:rFonts w:hint="eastAsia" w:ascii="Times New Roman" w:hAnsi="Times New Roman" w:eastAsia="方正仿宋_GBK" w:cs="方正仿宋_GBK"/>
          <w:b w:val="0"/>
          <w:bCs w:val="0"/>
          <w:color w:val="auto"/>
          <w:sz w:val="32"/>
          <w:szCs w:val="32"/>
          <w:shd w:val="clear" w:color="auto" w:fill="FFFFFF"/>
          <w:lang w:eastAsia="zh-CN"/>
        </w:rPr>
        <w:t>2024年</w:t>
      </w:r>
      <w:r>
        <w:rPr>
          <w:rFonts w:ascii="Times New Roman" w:hAnsi="Times New Roman" w:eastAsia="方正仿宋_GBK" w:cs="方正仿宋_GBK"/>
          <w:b w:val="0"/>
          <w:bCs w:val="0"/>
          <w:color w:val="auto"/>
          <w:sz w:val="32"/>
          <w:szCs w:val="32"/>
          <w:shd w:val="clear" w:color="auto" w:fill="FFFFFF"/>
        </w:rPr>
        <w:t>度我单位未发生政府采购事项，无相关经费支出。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lang w:val="en-US" w:eastAsia="zh-CN"/>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楷体" w:cs="楷体"/>
          <w:b w:val="0"/>
          <w:bCs w:val="0"/>
          <w:color w:val="auto"/>
          <w:kern w:val="0"/>
          <w:sz w:val="32"/>
          <w:szCs w:val="32"/>
          <w:shd w:val="clear" w:fill="FFFFFF"/>
        </w:rPr>
      </w:pPr>
      <w:r>
        <w:rPr>
          <w:rFonts w:hint="eastAsia" w:ascii="Times New Roman" w:hAnsi="Times New Roman" w:eastAsia="楷体" w:cs="楷体"/>
          <w:b w:val="0"/>
          <w:bCs w:val="0"/>
          <w:color w:val="auto"/>
          <w:kern w:val="0"/>
          <w:sz w:val="32"/>
          <w:szCs w:val="32"/>
          <w:shd w:val="clear" w:fill="FFFFFF"/>
        </w:rPr>
        <w:t>（一）预算绩效管理工作开展情况</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根据预算绩效管理要求，我单位对</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个项目开展了绩效自评，其中，以填报自评表形式开展自评</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项，涉及资金</w:t>
      </w:r>
      <w:r>
        <w:rPr>
          <w:rFonts w:hint="eastAsia" w:ascii="Times New Roman" w:hAnsi="Times New Roman" w:eastAsia="方正仿宋_GBK" w:cs="方正仿宋_GBK"/>
          <w:b w:val="0"/>
          <w:bCs w:val="0"/>
          <w:color w:val="auto"/>
          <w:kern w:val="0"/>
          <w:sz w:val="32"/>
          <w:szCs w:val="32"/>
          <w:shd w:val="clear" w:fill="FFFFFF"/>
          <w:lang w:val="en-US" w:eastAsia="zh-CN"/>
        </w:rPr>
        <w:t>9.4</w:t>
      </w:r>
      <w:r>
        <w:rPr>
          <w:rFonts w:hint="eastAsia" w:ascii="Times New Roman" w:hAnsi="Times New Roman" w:eastAsia="方正仿宋_GBK" w:cs="方正仿宋_GBK"/>
          <w:b w:val="0"/>
          <w:bCs w:val="0"/>
          <w:color w:val="auto"/>
          <w:kern w:val="0"/>
          <w:sz w:val="32"/>
          <w:szCs w:val="32"/>
          <w:shd w:val="clear" w:fill="FFFFFF"/>
        </w:rPr>
        <w:t>万元</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640" w:firstLineChars="200"/>
        <w:jc w:val="left"/>
        <w:textAlignment w:val="auto"/>
        <w:rPr>
          <w:rFonts w:hint="eastAsia" w:ascii="Times New Roman" w:hAnsi="Times New Roman" w:eastAsia="楷体" w:cs="楷体"/>
          <w:b w:val="0"/>
          <w:bCs w:val="0"/>
          <w:color w:val="auto"/>
          <w:kern w:val="0"/>
          <w:sz w:val="32"/>
          <w:szCs w:val="32"/>
          <w:shd w:val="clear" w:fill="FFFFFF"/>
        </w:rPr>
      </w:pPr>
      <w:r>
        <w:rPr>
          <w:rFonts w:hint="eastAsia" w:ascii="Times New Roman" w:hAnsi="Times New Roman" w:eastAsia="楷体" w:cs="楷体"/>
          <w:b w:val="0"/>
          <w:bCs w:val="0"/>
          <w:color w:val="auto"/>
          <w:kern w:val="0"/>
          <w:sz w:val="32"/>
          <w:szCs w:val="32"/>
          <w:shd w:val="clear" w:fill="FFFFFF"/>
        </w:rPr>
        <w:t>（二）绩效自评结果</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1.项目绩效自评表。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rPr>
        <w:t>详见附件</w:t>
      </w:r>
      <w:r>
        <w:rPr>
          <w:rFonts w:hint="eastAsia" w:ascii="Times New Roman" w:hAnsi="Times New Roman" w:eastAsia="方正仿宋_GBK" w:cs="方正仿宋_GBK"/>
          <w:b w:val="0"/>
          <w:bCs w:val="0"/>
          <w:color w:val="auto"/>
          <w:kern w:val="0"/>
          <w:sz w:val="32"/>
          <w:szCs w:val="32"/>
          <w:shd w:val="clear" w:fill="FFFFFF"/>
          <w:lang w:eastAsia="zh-CN"/>
        </w:rPr>
        <w:t>重庆市铜梁区维新镇乡村产业培育中心</w:t>
      </w:r>
      <w:r>
        <w:rPr>
          <w:rFonts w:hint="eastAsia" w:ascii="Times New Roman" w:hAnsi="Times New Roman" w:eastAsia="方正仿宋_GBK" w:cs="方正仿宋_GBK"/>
          <w:b w:val="0"/>
          <w:bCs w:val="0"/>
          <w:color w:val="auto"/>
          <w:kern w:val="0"/>
          <w:sz w:val="32"/>
          <w:szCs w:val="32"/>
          <w:shd w:val="clear" w:fill="FFFFFF"/>
          <w:lang w:val="en-US" w:eastAsia="zh-CN"/>
        </w:rPr>
        <w:t>2024年度项目绩效自评表。</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2.项目绩效自评报告或案例。</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我单位未委托第三方开展绩效评价。</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3.关于绩效自评结果的说明。</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eastAsia" w:ascii="Times New Roman" w:hAnsi="Times New Roman" w:eastAsia="方正仿宋_GBK" w:cs="方正仿宋_GBK"/>
          <w:b w:val="0"/>
          <w:bCs w:val="0"/>
          <w:color w:val="auto"/>
          <w:kern w:val="0"/>
          <w:sz w:val="32"/>
          <w:szCs w:val="32"/>
          <w:shd w:val="clear" w:fill="FFFFFF"/>
        </w:rPr>
      </w:pPr>
      <w:r>
        <w:rPr>
          <w:rFonts w:hint="eastAsia" w:ascii="Times New Roman" w:hAnsi="Times New Roman" w:eastAsia="方正仿宋_GBK" w:cs="方正仿宋_GBK"/>
          <w:b w:val="0"/>
          <w:bCs w:val="0"/>
          <w:color w:val="auto"/>
          <w:kern w:val="0"/>
          <w:sz w:val="32"/>
          <w:szCs w:val="32"/>
          <w:shd w:val="clear" w:fill="FFFFFF"/>
        </w:rPr>
        <w:t>我单位对</w:t>
      </w:r>
      <w:r>
        <w:rPr>
          <w:rFonts w:hint="eastAsia" w:ascii="Times New Roman" w:hAnsi="Times New Roman" w:eastAsia="方正仿宋_GBK" w:cs="方正仿宋_GBK"/>
          <w:b w:val="0"/>
          <w:bCs w:val="0"/>
          <w:color w:val="auto"/>
          <w:kern w:val="0"/>
          <w:sz w:val="32"/>
          <w:szCs w:val="32"/>
          <w:shd w:val="clear" w:fill="FFFFFF"/>
          <w:lang w:val="en-US" w:eastAsia="zh-CN"/>
        </w:rPr>
        <w:t>1个</w:t>
      </w:r>
      <w:r>
        <w:rPr>
          <w:rFonts w:hint="eastAsia" w:ascii="Times New Roman" w:hAnsi="Times New Roman" w:eastAsia="方正仿宋_GBK" w:cs="方正仿宋_GBK"/>
          <w:b w:val="0"/>
          <w:bCs w:val="0"/>
          <w:color w:val="auto"/>
          <w:kern w:val="0"/>
          <w:sz w:val="32"/>
          <w:szCs w:val="32"/>
          <w:shd w:val="clear" w:fill="FFFFFF"/>
        </w:rPr>
        <w:t>项目进行绩效自评，其中</w:t>
      </w:r>
      <w:r>
        <w:rPr>
          <w:rFonts w:hint="eastAsia" w:ascii="Times New Roman" w:hAnsi="Times New Roman" w:eastAsia="方正仿宋_GBK" w:cs="方正仿宋_GBK"/>
          <w:b w:val="0"/>
          <w:bCs w:val="0"/>
          <w:color w:val="auto"/>
          <w:kern w:val="0"/>
          <w:sz w:val="32"/>
          <w:szCs w:val="32"/>
          <w:shd w:val="clear" w:fill="FFFFFF"/>
          <w:lang w:val="en-US" w:eastAsia="zh-CN"/>
        </w:rPr>
        <w:t>1</w:t>
      </w:r>
      <w:r>
        <w:rPr>
          <w:rFonts w:hint="eastAsia" w:ascii="Times New Roman" w:hAnsi="Times New Roman" w:eastAsia="方正仿宋_GBK" w:cs="方正仿宋_GBK"/>
          <w:b w:val="0"/>
          <w:bCs w:val="0"/>
          <w:color w:val="auto"/>
          <w:kern w:val="0"/>
          <w:sz w:val="32"/>
          <w:szCs w:val="32"/>
          <w:shd w:val="clear" w:fill="FFFFFF"/>
        </w:rPr>
        <w:t>个已完成年度绩效目标，</w:t>
      </w:r>
      <w:r>
        <w:rPr>
          <w:rFonts w:hint="eastAsia" w:ascii="Times New Roman" w:hAnsi="Times New Roman" w:eastAsia="方正仿宋_GBK" w:cs="方正仿宋_GBK"/>
          <w:b w:val="0"/>
          <w:bCs w:val="0"/>
          <w:color w:val="auto"/>
          <w:kern w:val="0"/>
          <w:sz w:val="32"/>
          <w:szCs w:val="32"/>
          <w:shd w:val="clear" w:fill="FFFFFF"/>
          <w:lang w:val="en-US" w:eastAsia="zh-CN"/>
        </w:rPr>
        <w:t>0</w:t>
      </w:r>
      <w:r>
        <w:rPr>
          <w:rFonts w:hint="eastAsia" w:ascii="Times New Roman" w:hAnsi="Times New Roman" w:eastAsia="方正仿宋_GBK" w:cs="方正仿宋_GBK"/>
          <w:b w:val="0"/>
          <w:bCs w:val="0"/>
          <w:color w:val="auto"/>
          <w:kern w:val="0"/>
          <w:sz w:val="32"/>
          <w:szCs w:val="32"/>
          <w:shd w:val="clear" w:fill="FFFFFF"/>
        </w:rPr>
        <w:t>个未完成年度绩效目标。</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640" w:firstLineChars="200"/>
        <w:textAlignment w:val="auto"/>
        <w:rPr>
          <w:rFonts w:hint="default" w:ascii="Times New Roman" w:hAnsi="Times New Roman" w:eastAsia="楷体" w:cs="楷体"/>
          <w:b w:val="0"/>
          <w:bCs w:val="0"/>
          <w:color w:val="auto"/>
          <w:kern w:val="0"/>
          <w:sz w:val="32"/>
          <w:szCs w:val="32"/>
          <w:shd w:val="clear" w:fill="FFFFFF"/>
          <w:lang w:val="en-US" w:eastAsia="zh-CN" w:bidi="ar"/>
        </w:rPr>
      </w:pPr>
      <w:r>
        <w:rPr>
          <w:rFonts w:hint="eastAsia" w:ascii="Times New Roman" w:hAnsi="Times New Roman" w:eastAsia="楷体" w:cs="楷体"/>
          <w:b w:val="0"/>
          <w:bCs w:val="0"/>
          <w:color w:val="auto"/>
          <w:kern w:val="0"/>
          <w:sz w:val="32"/>
          <w:szCs w:val="32"/>
          <w:shd w:val="clear" w:fill="FFFFFF"/>
          <w:lang w:val="en-US" w:eastAsia="zh-CN" w:bidi="ar"/>
        </w:rPr>
        <w:t>（三）财政重点绩效评价情况</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shd w:val="clear" w:fill="FFFFFF"/>
          <w:lang w:val="en-US" w:eastAsia="zh-CN"/>
        </w:rPr>
      </w:pPr>
      <w:r>
        <w:rPr>
          <w:rFonts w:hint="eastAsia" w:ascii="Times New Roman" w:hAnsi="Times New Roman" w:eastAsia="方正仿宋_GBK" w:cs="方正仿宋_GBK"/>
          <w:b w:val="0"/>
          <w:bCs w:val="0"/>
          <w:color w:val="auto"/>
          <w:kern w:val="0"/>
          <w:sz w:val="32"/>
          <w:szCs w:val="32"/>
          <w:shd w:val="clear" w:fill="FFFFFF"/>
          <w:lang w:val="en-US" w:eastAsia="zh-CN"/>
        </w:rPr>
        <w:t>我单位无财政重点绩效评价项目。</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方正黑体_GBK" w:cs="方正黑体_GBK"/>
          <w:b w:val="0"/>
          <w:bCs w:val="0"/>
          <w:color w:val="auto"/>
          <w:sz w:val="32"/>
          <w:szCs w:val="32"/>
          <w:shd w:val="clear" w:color="auto" w:fill="FFFFFF"/>
          <w:lang w:val="en-US" w:eastAsia="zh-CN" w:bidi="ar-SA"/>
        </w:rPr>
        <w:t>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（一）财政拨款收入：</w:t>
      </w:r>
      <w:r>
        <w:rPr>
          <w:rFonts w:hint="eastAsia" w:ascii="Times New Roman" w:hAnsi="Times New Roman" w:eastAsia="方正仿宋_GBK" w:cs="方正仿宋_GBK"/>
          <w:b w:val="0"/>
          <w:bCs w:val="0"/>
          <w:color w:val="auto"/>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（二）事业收入：</w:t>
      </w:r>
      <w:r>
        <w:rPr>
          <w:rFonts w:hint="eastAsia" w:ascii="Times New Roman" w:hAnsi="Times New Roman" w:eastAsia="方正仿宋_GBK" w:cs="方正仿宋_GBK"/>
          <w:b w:val="0"/>
          <w:bCs w:val="0"/>
          <w:color w:val="auto"/>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（三）经营收入：</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（四）其他收入：</w:t>
      </w:r>
      <w:r>
        <w:rPr>
          <w:rFonts w:hint="eastAsia" w:ascii="Times New Roman" w:hAnsi="Times New Roman" w:eastAsia="方正仿宋_GBK" w:cs="方正仿宋_GBK"/>
          <w:b w:val="0"/>
          <w:bCs w:val="0"/>
          <w:color w:val="auto"/>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（五）使用非财政拨款结余：</w:t>
      </w:r>
      <w:r>
        <w:rPr>
          <w:rFonts w:hint="eastAsia" w:ascii="Times New Roman" w:hAnsi="Times New Roman" w:eastAsia="方正仿宋_GBK" w:cs="方正仿宋_GBK"/>
          <w:b w:val="0"/>
          <w:bCs w:val="0"/>
          <w:color w:val="auto"/>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（六）年初结转和结余：</w:t>
      </w:r>
      <w:r>
        <w:rPr>
          <w:rFonts w:hint="eastAsia" w:ascii="Times New Roman" w:hAnsi="Times New Roman" w:eastAsia="方正仿宋_GBK" w:cs="方正仿宋_GBK"/>
          <w:b w:val="0"/>
          <w:bCs w:val="0"/>
          <w:color w:val="auto"/>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（七）结余分配：</w:t>
      </w:r>
      <w:r>
        <w:rPr>
          <w:rFonts w:hint="eastAsia" w:ascii="Times New Roman" w:hAnsi="Times New Roman" w:eastAsia="方正仿宋_GBK" w:cs="方正仿宋_GBK"/>
          <w:b w:val="0"/>
          <w:bCs w:val="0"/>
          <w:color w:val="auto"/>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（八）年末结转和结余：</w:t>
      </w:r>
      <w:r>
        <w:rPr>
          <w:rFonts w:hint="eastAsia" w:ascii="Times New Roman" w:hAnsi="Times New Roman" w:eastAsia="方正仿宋_GBK" w:cs="方正仿宋_GBK"/>
          <w:b w:val="0"/>
          <w:bCs w:val="0"/>
          <w:color w:val="auto"/>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（九）基本支出：</w:t>
      </w:r>
      <w:r>
        <w:rPr>
          <w:rFonts w:hint="eastAsia" w:ascii="Times New Roman" w:hAnsi="Times New Roman" w:eastAsia="方正仿宋_GBK" w:cs="方正仿宋_GBK"/>
          <w:b w:val="0"/>
          <w:bCs w:val="0"/>
          <w:color w:val="auto"/>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（十）项目支出：</w:t>
      </w:r>
      <w:r>
        <w:rPr>
          <w:rFonts w:hint="eastAsia" w:ascii="Times New Roman" w:hAnsi="Times New Roman" w:eastAsia="方正仿宋_GBK" w:cs="方正仿宋_GBK"/>
          <w:b w:val="0"/>
          <w:bCs w:val="0"/>
          <w:color w:val="auto"/>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（十一）经营支出：</w:t>
      </w:r>
      <w:r>
        <w:rPr>
          <w:rFonts w:hint="eastAsia" w:ascii="Times New Roman" w:hAnsi="Times New Roman" w:eastAsia="方正仿宋_GBK" w:cs="方正仿宋_GBK"/>
          <w:b w:val="0"/>
          <w:bCs w:val="0"/>
          <w:color w:val="auto"/>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（十二）“三公”经费：</w:t>
      </w:r>
      <w:r>
        <w:rPr>
          <w:rFonts w:hint="eastAsia" w:ascii="Times New Roman" w:hAnsi="Times New Roman" w:eastAsia="方正仿宋_GBK" w:cs="方正仿宋_GBK"/>
          <w:b w:val="0"/>
          <w:bCs w:val="0"/>
          <w:color w:val="auto"/>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（十三）机关运行经费：</w:t>
      </w:r>
      <w:r>
        <w:rPr>
          <w:rFonts w:hint="eastAsia" w:ascii="Times New Roman" w:hAnsi="Times New Roman" w:eastAsia="方正仿宋_GBK" w:cs="方正仿宋_GBK"/>
          <w:b w:val="0"/>
          <w:bCs w:val="0"/>
          <w:color w:val="auto"/>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（十四）工资福利支出（支出经济分类科目类级）：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（十五）商品和服务支出（支出经济分类科目类级）：</w:t>
      </w:r>
      <w:r>
        <w:rPr>
          <w:rFonts w:hint="eastAsia" w:ascii="Times New Roman" w:hAnsi="Times New Roman" w:eastAsia="方正仿宋_GBK" w:cs="方正仿宋_GBK"/>
          <w:b w:val="0"/>
          <w:bCs w:val="0"/>
          <w:color w:val="auto"/>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（十六）对个人和家庭的补助（支出经济分类科目类级）：</w:t>
      </w:r>
      <w:r>
        <w:rPr>
          <w:rFonts w:hint="eastAsia" w:ascii="Times New Roman" w:hAnsi="Times New Roman" w:eastAsia="方正仿宋_GBK" w:cs="方正仿宋_GBK"/>
          <w:b w:val="0"/>
          <w:bCs w:val="0"/>
          <w:color w:val="auto"/>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eastAsia" w:ascii="Times New Roman" w:hAnsi="Times New Roman" w:eastAsia="方正仿宋_GBK" w:cs="方正仿宋_GBK"/>
          <w:b w:val="0"/>
          <w:bCs w:val="0"/>
          <w:color w:val="auto"/>
          <w:kern w:val="0"/>
          <w:sz w:val="32"/>
          <w:szCs w:val="32"/>
        </w:rPr>
      </w:pPr>
      <w:r>
        <w:rPr>
          <w:rStyle w:val="7"/>
          <w:rFonts w:hint="eastAsia" w:ascii="Times New Roman" w:hAnsi="Times New Roman" w:eastAsia="楷体" w:cs="楷体"/>
          <w:b w:val="0"/>
          <w:bCs w:val="0"/>
          <w:color w:val="auto"/>
          <w:sz w:val="32"/>
          <w:szCs w:val="32"/>
          <w:shd w:val="clear" w:color="auto" w:fill="FFFFFF"/>
          <w:lang w:val="en-US" w:eastAsia="zh-CN" w:bidi="ar-SA"/>
        </w:rPr>
        <w:t>（十七）其他资本性支出（支出经济分类科目类级）：</w:t>
      </w:r>
      <w:r>
        <w:rPr>
          <w:rFonts w:hint="eastAsia" w:ascii="Times New Roman" w:hAnsi="Times New Roman" w:eastAsia="方正仿宋_GBK" w:cs="方正仿宋_GBK"/>
          <w:b w:val="0"/>
          <w:bCs w:val="0"/>
          <w:color w:val="auto"/>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640" w:firstLineChars="200"/>
        <w:textAlignment w:val="auto"/>
        <w:rPr>
          <w:rStyle w:val="7"/>
          <w:rFonts w:hint="eastAsia" w:ascii="Times New Roman" w:hAnsi="Times New Roman" w:eastAsia="方正黑体_GBK" w:cs="方正黑体_GBK"/>
          <w:b w:val="0"/>
          <w:bCs w:val="0"/>
          <w:color w:val="auto"/>
          <w:sz w:val="32"/>
          <w:szCs w:val="32"/>
          <w:shd w:val="clear" w:color="auto" w:fill="FFFFFF"/>
        </w:rPr>
      </w:pPr>
      <w:r>
        <w:rPr>
          <w:rStyle w:val="7"/>
          <w:rFonts w:hint="eastAsia" w:ascii="Times New Roman" w:hAnsi="Times New Roman" w:eastAsia="方正黑体_GBK" w:cs="方正黑体_GBK"/>
          <w:b w:val="0"/>
          <w:bCs w:val="0"/>
          <w:color w:val="auto"/>
          <w:sz w:val="32"/>
          <w:szCs w:val="32"/>
          <w:shd w:val="clear" w:color="auto" w:fill="FFFFFF"/>
          <w:lang w:val="en-US" w:eastAsia="zh-CN"/>
        </w:rPr>
        <w:t>七、决算公开联系方式及信息反馈渠道</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640" w:firstLineChars="200"/>
        <w:textAlignment w:val="auto"/>
        <w:rPr>
          <w:rFonts w:hint="default" w:ascii="Times New Roman" w:hAnsi="Times New Roman" w:eastAsia="方正仿宋_GBK" w:cs="方正仿宋_GBK"/>
          <w:b w:val="0"/>
          <w:bCs w:val="0"/>
          <w:color w:val="auto"/>
          <w:kern w:val="0"/>
          <w:sz w:val="32"/>
          <w:szCs w:val="32"/>
          <w:lang w:val="en-US" w:eastAsia="zh-CN"/>
        </w:rPr>
      </w:pPr>
      <w:r>
        <w:rPr>
          <w:rFonts w:hint="eastAsia" w:ascii="Times New Roman" w:hAnsi="Times New Roman" w:eastAsia="方正仿宋_GBK" w:cs="方正仿宋_GBK"/>
          <w:b w:val="0"/>
          <w:bCs w:val="0"/>
          <w:color w:val="auto"/>
          <w:kern w:val="0"/>
          <w:sz w:val="32"/>
          <w:szCs w:val="32"/>
          <w:shd w:val="clear" w:fill="FFFFFF"/>
        </w:rPr>
        <w:t>本单位决算公开信息反馈和联系方式：</w:t>
      </w:r>
      <w:r>
        <w:rPr>
          <w:rFonts w:hint="eastAsia" w:ascii="Times New Roman" w:hAnsi="Times New Roman" w:eastAsia="方正仿宋_GBK" w:cs="方正仿宋_GBK"/>
          <w:b w:val="0"/>
          <w:bCs w:val="0"/>
          <w:color w:val="auto"/>
          <w:kern w:val="0"/>
          <w:sz w:val="32"/>
          <w:szCs w:val="32"/>
          <w:shd w:val="clear" w:fill="FFFFFF"/>
          <w:lang w:eastAsia="zh-CN"/>
        </w:rPr>
        <w:t>华</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lang w:eastAsia="zh-CN"/>
        </w:rPr>
        <w:t>娅</w:t>
      </w:r>
      <w:r>
        <w:rPr>
          <w:rFonts w:hint="eastAsia" w:ascii="Times New Roman" w:hAnsi="Times New Roman" w:eastAsia="方正仿宋_GBK" w:cs="方正仿宋_GBK"/>
          <w:b w:val="0"/>
          <w:bCs w:val="0"/>
          <w:color w:val="auto"/>
          <w:kern w:val="0"/>
          <w:sz w:val="32"/>
          <w:szCs w:val="32"/>
          <w:shd w:val="clear" w:fill="FFFFFF"/>
          <w:lang w:val="en-US" w:eastAsia="zh-CN"/>
        </w:rPr>
        <w:t xml:space="preserve"> </w:t>
      </w:r>
      <w:r>
        <w:rPr>
          <w:rFonts w:hint="eastAsia" w:ascii="Times New Roman" w:hAnsi="Times New Roman" w:eastAsia="方正仿宋_GBK" w:cs="方正仿宋_GBK"/>
          <w:b w:val="0"/>
          <w:bCs w:val="0"/>
          <w:color w:val="auto"/>
          <w:kern w:val="0"/>
          <w:sz w:val="32"/>
          <w:szCs w:val="32"/>
          <w:shd w:val="clear" w:fill="FFFFFF"/>
        </w:rPr>
        <w:t>023-</w:t>
      </w:r>
      <w:r>
        <w:rPr>
          <w:rFonts w:hint="eastAsia" w:ascii="Times New Roman" w:hAnsi="Times New Roman" w:eastAsia="方正仿宋_GBK" w:cs="方正仿宋_GBK"/>
          <w:b w:val="0"/>
          <w:bCs w:val="0"/>
          <w:color w:val="auto"/>
          <w:kern w:val="0"/>
          <w:sz w:val="32"/>
          <w:szCs w:val="32"/>
          <w:shd w:val="clear" w:fill="FFFFFF"/>
          <w:lang w:val="en-US" w:eastAsia="zh-CN"/>
        </w:rPr>
        <w:t>45862231</w:t>
      </w: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rPr>
      </w:pPr>
    </w:p>
    <w:p>
      <w:pPr>
        <w:pStyle w:val="9"/>
        <w:keepNext w:val="0"/>
        <w:keepLines w:val="0"/>
        <w:pageBreakBefore w:val="0"/>
        <w:widowControl/>
        <w:kinsoku/>
        <w:wordWrap/>
        <w:overflowPunct/>
        <w:topLinePunct w:val="0"/>
        <w:autoSpaceDE w:val="0"/>
        <w:autoSpaceDN/>
        <w:bidi w:val="0"/>
        <w:adjustRightInd/>
        <w:snapToGrid/>
        <w:spacing w:beforeAutospacing="0" w:afterAutospacing="0" w:line="594" w:lineRule="exact"/>
        <w:ind w:firstLine="640" w:firstLineChars="200"/>
        <w:jc w:val="both"/>
        <w:textAlignment w:val="auto"/>
        <w:rPr>
          <w:rStyle w:val="11"/>
          <w:rFonts w:hint="eastAsia" w:ascii="Times New Roman" w:hAnsi="Times New Roman" w:eastAsia="方正仿宋_GBK" w:cs="方正仿宋_GBK"/>
          <w:b w:val="0"/>
          <w:bCs w:val="0"/>
          <w:color w:val="auto"/>
          <w:sz w:val="32"/>
          <w:szCs w:val="32"/>
          <w:shd w:val="clear" w:fill="FFFF00"/>
          <w:lang w:val="en-US" w:eastAsia="zh-CN"/>
        </w:rPr>
      </w:pPr>
    </w:p>
    <w:sectPr>
      <w:headerReference r:id="rId3" w:type="default"/>
      <w:footerReference r:id="rId4" w:type="default"/>
      <w:pgSz w:w="11850" w:h="16783"/>
      <w:pgMar w:top="1984" w:right="1446" w:bottom="1644" w:left="1446"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- 1 -</w:t>
                    </w:r>
                    <w:r>
                      <w:rPr>
                        <w:rFonts w:hint="eastAsia"/>
                        <w:sz w:val="28"/>
                        <w:szCs w:val="28"/>
                        <w:lang w:eastAsia="zh-CN"/>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550ABE"/>
    <w:rsid w:val="007B419D"/>
    <w:rsid w:val="009B67B8"/>
    <w:rsid w:val="00B03CCD"/>
    <w:rsid w:val="00FE7556"/>
    <w:rsid w:val="01474EBF"/>
    <w:rsid w:val="01F3521E"/>
    <w:rsid w:val="02D06136"/>
    <w:rsid w:val="03E3214F"/>
    <w:rsid w:val="04446191"/>
    <w:rsid w:val="044C50BA"/>
    <w:rsid w:val="06A2550B"/>
    <w:rsid w:val="06F80EE2"/>
    <w:rsid w:val="07001CCA"/>
    <w:rsid w:val="075678DB"/>
    <w:rsid w:val="08051BCA"/>
    <w:rsid w:val="08887FC5"/>
    <w:rsid w:val="08B84F60"/>
    <w:rsid w:val="08BA052C"/>
    <w:rsid w:val="08DB07BA"/>
    <w:rsid w:val="098305D0"/>
    <w:rsid w:val="09B72B6E"/>
    <w:rsid w:val="09E81955"/>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643C6"/>
    <w:rsid w:val="13CE1647"/>
    <w:rsid w:val="141A11EA"/>
    <w:rsid w:val="14200702"/>
    <w:rsid w:val="148E377E"/>
    <w:rsid w:val="1580711B"/>
    <w:rsid w:val="189B0D0B"/>
    <w:rsid w:val="190A317C"/>
    <w:rsid w:val="194A1770"/>
    <w:rsid w:val="19917D9C"/>
    <w:rsid w:val="19B906A4"/>
    <w:rsid w:val="1A1F744B"/>
    <w:rsid w:val="1A4854EC"/>
    <w:rsid w:val="1B6F15B6"/>
    <w:rsid w:val="1BAA2EDC"/>
    <w:rsid w:val="1C124808"/>
    <w:rsid w:val="1CE157EE"/>
    <w:rsid w:val="1D014A01"/>
    <w:rsid w:val="1D022362"/>
    <w:rsid w:val="1DD26311"/>
    <w:rsid w:val="1EF67CA4"/>
    <w:rsid w:val="1FCD26AF"/>
    <w:rsid w:val="20642787"/>
    <w:rsid w:val="21556F04"/>
    <w:rsid w:val="22403BD3"/>
    <w:rsid w:val="24932670"/>
    <w:rsid w:val="24B92327"/>
    <w:rsid w:val="2533755C"/>
    <w:rsid w:val="26396DF4"/>
    <w:rsid w:val="270642A6"/>
    <w:rsid w:val="27167136"/>
    <w:rsid w:val="27477B09"/>
    <w:rsid w:val="27B23302"/>
    <w:rsid w:val="28F725E7"/>
    <w:rsid w:val="29310A5F"/>
    <w:rsid w:val="29A943B3"/>
    <w:rsid w:val="29C37A35"/>
    <w:rsid w:val="29C95E09"/>
    <w:rsid w:val="2A076083"/>
    <w:rsid w:val="2A73162E"/>
    <w:rsid w:val="2B167953"/>
    <w:rsid w:val="2B200583"/>
    <w:rsid w:val="2B8209DE"/>
    <w:rsid w:val="2C161D32"/>
    <w:rsid w:val="2C2D3EC7"/>
    <w:rsid w:val="2C6762A3"/>
    <w:rsid w:val="2D8D2A49"/>
    <w:rsid w:val="2FE029D7"/>
    <w:rsid w:val="2FF06E00"/>
    <w:rsid w:val="30B352B8"/>
    <w:rsid w:val="315D199F"/>
    <w:rsid w:val="315F0B22"/>
    <w:rsid w:val="31D84415"/>
    <w:rsid w:val="32285F6F"/>
    <w:rsid w:val="32770556"/>
    <w:rsid w:val="329C0913"/>
    <w:rsid w:val="3337290D"/>
    <w:rsid w:val="34982EB0"/>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464F14"/>
    <w:rsid w:val="3B544954"/>
    <w:rsid w:val="3BBF6D9E"/>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2E338C"/>
    <w:rsid w:val="465B470D"/>
    <w:rsid w:val="469D6AD4"/>
    <w:rsid w:val="46FC41C7"/>
    <w:rsid w:val="47674801"/>
    <w:rsid w:val="48225EF7"/>
    <w:rsid w:val="495C4A24"/>
    <w:rsid w:val="4AD70EE7"/>
    <w:rsid w:val="4B1A0D33"/>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4009EF"/>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73354"/>
    <w:rsid w:val="601C34ED"/>
    <w:rsid w:val="60A958A9"/>
    <w:rsid w:val="60D22ADB"/>
    <w:rsid w:val="61025A59"/>
    <w:rsid w:val="613D5BBC"/>
    <w:rsid w:val="614B7B86"/>
    <w:rsid w:val="61536C39"/>
    <w:rsid w:val="628230A6"/>
    <w:rsid w:val="62944DD7"/>
    <w:rsid w:val="62AB52B7"/>
    <w:rsid w:val="634D1435"/>
    <w:rsid w:val="63C25DC5"/>
    <w:rsid w:val="63C62057"/>
    <w:rsid w:val="63C73832"/>
    <w:rsid w:val="64FB113D"/>
    <w:rsid w:val="654E4D38"/>
    <w:rsid w:val="656152C6"/>
    <w:rsid w:val="6587477F"/>
    <w:rsid w:val="658C3A08"/>
    <w:rsid w:val="65C031CA"/>
    <w:rsid w:val="65CE6852"/>
    <w:rsid w:val="66267C04"/>
    <w:rsid w:val="663F505A"/>
    <w:rsid w:val="665C1999"/>
    <w:rsid w:val="667F2393"/>
    <w:rsid w:val="66EE5541"/>
    <w:rsid w:val="692172FD"/>
    <w:rsid w:val="6A3829EE"/>
    <w:rsid w:val="6B1A530C"/>
    <w:rsid w:val="6B474EF5"/>
    <w:rsid w:val="6BC8563A"/>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305F2D"/>
    <w:rsid w:val="796D60A4"/>
    <w:rsid w:val="79A031D5"/>
    <w:rsid w:val="79C87AB8"/>
    <w:rsid w:val="7A1525F7"/>
    <w:rsid w:val="7A3E6CB6"/>
    <w:rsid w:val="7A680D2D"/>
    <w:rsid w:val="7B260559"/>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6">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7">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basedOn w:val="6"/>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7711</Words>
  <Characters>21008</Characters>
  <Lines>161</Lines>
  <Paragraphs>45</Paragraphs>
  <TotalTime>0</TotalTime>
  <ScaleCrop>false</ScaleCrop>
  <LinksUpToDate>false</LinksUpToDate>
  <CharactersWithSpaces>21460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2025-10-15T01:57:01Z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9EDAFD8FD9424A54844071572B3E9A06_13</vt:lpwstr>
  </property>
</Properties>
</file>