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ascii="Times New Roman" w:hAnsi="Times New Roman" w:eastAsia="方正小标宋_GBK" w:cs="方正小标宋_GBK"/>
          <w:b w:val="0"/>
          <w:bCs w:val="0"/>
          <w:color w:val="auto"/>
          <w:sz w:val="44"/>
          <w:szCs w:val="44"/>
        </w:rPr>
      </w:pPr>
      <w:r>
        <w:rPr>
          <w:rFonts w:ascii="Times New Roman" w:hAnsi="Times New Roman" w:eastAsia="方正小标宋_GBK" w:cs="方正小标宋_GBK"/>
          <w:b w:val="0"/>
          <w:bCs w:val="0"/>
          <w:color w:val="auto"/>
          <w:sz w:val="44"/>
          <w:szCs w:val="44"/>
        </w:rPr>
        <w:t>重庆市铜梁区维新镇劳动就业和社会保障</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ascii="Times New Roman" w:hAnsi="Times New Roman" w:eastAsia="方正小标宋_GBK" w:cs="方正小标宋_GBK"/>
          <w:b w:val="0"/>
          <w:bCs w:val="0"/>
          <w:color w:val="auto"/>
          <w:sz w:val="44"/>
          <w:szCs w:val="44"/>
        </w:rPr>
      </w:pPr>
      <w:r>
        <w:rPr>
          <w:rFonts w:ascii="Times New Roman" w:hAnsi="Times New Roman" w:eastAsia="方正小标宋_GBK" w:cs="方正小标宋_GBK"/>
          <w:b w:val="0"/>
          <w:bCs w:val="0"/>
          <w:color w:val="auto"/>
          <w:sz w:val="44"/>
          <w:szCs w:val="44"/>
        </w:rPr>
        <w:t>服务所</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hint="default" w:ascii="Times New Roman" w:hAnsi="Times New Roman" w:eastAsia="方正小标宋_GBK" w:cs="方正小标宋_GBK"/>
          <w:b w:val="0"/>
          <w:bCs w:val="0"/>
          <w:color w:val="auto"/>
          <w:sz w:val="44"/>
          <w:szCs w:val="44"/>
          <w:shd w:val="clear" w:color="auto" w:fill="FFFFFF"/>
        </w:rPr>
      </w:pPr>
      <w:r>
        <w:rPr>
          <w:rFonts w:hint="default" w:ascii="Times New Roman" w:hAnsi="Times New Roman" w:eastAsia="方正小标宋_GBK" w:cs="Times New Roman"/>
          <w:b w:val="0"/>
          <w:bCs w:val="0"/>
          <w:color w:val="auto"/>
          <w:sz w:val="44"/>
          <w:szCs w:val="44"/>
          <w:shd w:val="clear" w:color="auto" w:fill="FFFFFF"/>
        </w:rPr>
        <w:t>2024</w:t>
      </w:r>
      <w:r>
        <w:rPr>
          <w:rFonts w:ascii="Times New Roman" w:hAnsi="Times New Roman" w:eastAsia="方正小标宋_GBK" w:cs="方正小标宋_GBK"/>
          <w:b w:val="0"/>
          <w:bCs w:val="0"/>
          <w:color w:val="auto"/>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540" w:firstLineChars="200"/>
        <w:textAlignment w:val="auto"/>
        <w:rPr>
          <w:rFonts w:hint="default" w:ascii="Times New Roman" w:hAnsi="Times New Roman"/>
          <w:b w:val="0"/>
          <w:bCs w:val="0"/>
          <w:color w:val="auto"/>
          <w:sz w:val="27"/>
          <w:szCs w:val="27"/>
          <w:shd w:val="clear" w:color="auto" w:fill="FFFF00"/>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rPr>
        <w:t>一、</w:t>
      </w:r>
      <w:r>
        <w:rPr>
          <w:rStyle w:val="7"/>
          <w:rFonts w:hint="eastAsia" w:ascii="Times New Roman" w:hAnsi="Times New Roman" w:eastAsia="方正黑体_GBK" w:cs="方正黑体_GBK"/>
          <w:b w:val="0"/>
          <w:bCs w:val="0"/>
          <w:color w:val="auto"/>
          <w:sz w:val="32"/>
          <w:szCs w:val="32"/>
          <w:shd w:val="clear" w:color="auto" w:fill="FFFFFF"/>
          <w:lang w:eastAsia="zh-CN"/>
        </w:rPr>
        <w:t>单位</w:t>
      </w:r>
      <w:r>
        <w:rPr>
          <w:rStyle w:val="7"/>
          <w:rFonts w:hint="eastAsia" w:ascii="Times New Roman" w:hAnsi="Times New Roman" w:eastAsia="方正黑体_GBK" w:cs="方正黑体_GBK"/>
          <w:b w:val="0"/>
          <w:bCs w:val="0"/>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auto"/>
          <w:sz w:val="32"/>
          <w:szCs w:val="32"/>
        </w:rPr>
      </w:pPr>
      <w:r>
        <w:rPr>
          <w:rStyle w:val="7"/>
          <w:rFonts w:hint="eastAsia" w:ascii="Times New Roman" w:hAnsi="Times New Roman" w:eastAsia="方正楷体_GBK" w:cs="方正楷体_GBK"/>
          <w:b w:val="0"/>
          <w:bCs w:val="0"/>
          <w:color w:val="auto"/>
          <w:sz w:val="32"/>
          <w:szCs w:val="32"/>
          <w:shd w:val="clear" w:color="auto" w:fill="FFFFFF"/>
        </w:rPr>
        <w:t>（一）职能职责</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shd w:val="clear" w:color="auto" w:fill="FFFFFF"/>
          <w:lang w:eastAsia="zh-CN"/>
        </w:rPr>
        <w:t>主要职责任务是承担就业、再就业促进工作，社会保险业务经办，优抚救济、社会救助和城乡低保办理，离退休人员社会化管理和服务，完成主管部门交办的其他任务。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default"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（二）机构设置</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rPr>
        <w:t>重庆市铜梁区维新镇劳动就业和社会保障服务所</w:t>
      </w:r>
      <w:r>
        <w:rPr>
          <w:rFonts w:hint="eastAsia" w:ascii="Times New Roman" w:hAnsi="Times New Roman" w:eastAsia="方正仿宋_GBK" w:cs="方正仿宋_GBK"/>
          <w:b w:val="0"/>
          <w:bCs w:val="0"/>
          <w:color w:val="auto"/>
          <w:sz w:val="32"/>
          <w:szCs w:val="32"/>
          <w:lang w:eastAsia="zh-CN"/>
        </w:rPr>
        <w:t>设所长</w:t>
      </w:r>
      <w:r>
        <w:rPr>
          <w:rFonts w:hint="eastAsia" w:ascii="Times New Roman" w:hAnsi="Times New Roman" w:eastAsia="方正仿宋_GBK" w:cs="方正仿宋_GBK"/>
          <w:b w:val="0"/>
          <w:bCs w:val="0"/>
          <w:color w:val="auto"/>
          <w:sz w:val="32"/>
          <w:szCs w:val="32"/>
          <w:lang w:val="en-US" w:eastAsia="zh-CN"/>
        </w:rPr>
        <w:t>1名、副所长1名，其宗旨是为群众提供人力资源和社会保障服务。</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hint="eastAsia" w:ascii="Times New Roman" w:hAnsi="Times New Roman" w:eastAsia="方正黑体_GBK" w:cs="方正黑体_GBK"/>
          <w:b w:val="0"/>
          <w:bCs w:val="0"/>
          <w:color w:val="auto"/>
          <w:sz w:val="32"/>
          <w:szCs w:val="32"/>
          <w:shd w:val="clear" w:color="auto" w:fill="FFFFFF"/>
        </w:rPr>
        <w:t>二、</w:t>
      </w:r>
      <w:r>
        <w:rPr>
          <w:rStyle w:val="7"/>
          <w:rFonts w:hint="eastAsia" w:ascii="Times New Roman" w:hAnsi="Times New Roman" w:eastAsia="方正黑体_GBK" w:cs="方正黑体_GBK"/>
          <w:b w:val="0"/>
          <w:bCs w:val="0"/>
          <w:color w:val="auto"/>
          <w:sz w:val="32"/>
          <w:szCs w:val="32"/>
          <w:shd w:val="clear" w:color="auto" w:fill="FFFFFF"/>
          <w:lang w:eastAsia="zh-CN"/>
        </w:rPr>
        <w:t>单位</w:t>
      </w:r>
      <w:r>
        <w:rPr>
          <w:rStyle w:val="7"/>
          <w:rFonts w:hint="eastAsia" w:ascii="Times New Roman" w:hAnsi="Times New Roman" w:eastAsia="方正黑体_GBK" w:cs="方正黑体_GBK"/>
          <w:b w:val="0"/>
          <w:bCs w:val="0"/>
          <w:color w:val="auto"/>
          <w:sz w:val="32"/>
          <w:szCs w:val="32"/>
          <w:shd w:val="clear" w:color="auto" w:fill="FFFFFF"/>
        </w:rPr>
        <w:t>决算</w:t>
      </w:r>
      <w:r>
        <w:rPr>
          <w:rStyle w:val="7"/>
          <w:rFonts w:hint="eastAsia" w:ascii="Times New Roman" w:hAnsi="Times New Roman" w:eastAsia="方正黑体_GBK" w:cs="方正黑体_GBK"/>
          <w:b w:val="0"/>
          <w:bCs w:val="0"/>
          <w:color w:val="auto"/>
          <w:sz w:val="32"/>
          <w:szCs w:val="32"/>
          <w:shd w:val="clear" w:color="auto" w:fill="FFFFFF"/>
          <w:lang w:eastAsia="zh-CN"/>
        </w:rPr>
        <w:t>收支</w:t>
      </w:r>
      <w:r>
        <w:rPr>
          <w:rStyle w:val="7"/>
          <w:rFonts w:hint="eastAsia" w:ascii="Times New Roman" w:hAnsi="Times New Roman" w:eastAsia="方正黑体_GBK" w:cs="方正黑体_GBK"/>
          <w:b w:val="0"/>
          <w:bCs w:val="0"/>
          <w:color w:val="auto"/>
          <w:sz w:val="32"/>
          <w:szCs w:val="32"/>
          <w:shd w:val="clear" w:color="auto" w:fill="FFFFFF"/>
        </w:rPr>
        <w:t>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1.总体情况。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度收入总计76.50万元，支出总计</w:t>
      </w:r>
      <w:r>
        <w:rPr>
          <w:rFonts w:ascii="Times New Roman" w:hAnsi="Times New Roman" w:eastAsia="方正仿宋_GBK" w:cs="方正仿宋_GBK"/>
          <w:b w:val="0"/>
          <w:bCs w:val="0"/>
          <w:color w:val="auto"/>
          <w:sz w:val="32"/>
          <w:szCs w:val="32"/>
        </w:rPr>
        <w:t>76.50</w:t>
      </w:r>
      <w:r>
        <w:rPr>
          <w:rFonts w:ascii="Times New Roman" w:hAnsi="Times New Roman" w:eastAsia="方正仿宋_GBK" w:cs="方正仿宋_GBK"/>
          <w:b w:val="0"/>
          <w:bCs w:val="0"/>
          <w:color w:val="auto"/>
          <w:sz w:val="32"/>
          <w:szCs w:val="32"/>
          <w:shd w:val="clear" w:color="auto" w:fill="FFFFFF"/>
        </w:rPr>
        <w:t>万元。收、支与2023年度相比，增加76.50万元，增长100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hint="default" w:ascii="Times New Roman" w:hAnsi="Times New Roman" w:eastAsia="方正仿宋_GBK" w:cs="方正仿宋_GBK"/>
          <w:b w:val="0"/>
          <w:bCs w:val="0"/>
          <w:color w:val="auto"/>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Style w:val="7"/>
          <w:rFonts w:ascii="Times New Roman" w:hAnsi="Times New Roman" w:eastAsia="方正仿宋_GBK" w:cs="方正仿宋_GBK"/>
          <w:b w:val="0"/>
          <w:bCs w:val="0"/>
          <w:color w:val="auto"/>
          <w:sz w:val="32"/>
          <w:szCs w:val="32"/>
          <w:shd w:val="clear" w:color="auto" w:fill="FFFFFF"/>
        </w:rPr>
        <w:t>2.收入情况。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度收入合计76.50万元，与2023年度相比，增加76.50万元，增长100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hint="default" w:ascii="Times New Roman" w:hAnsi="Times New Roman" w:eastAsia="方正仿宋_GBK" w:cs="方正仿宋_GBK"/>
          <w:b w:val="0"/>
          <w:bCs w:val="0"/>
          <w:color w:val="auto"/>
          <w:sz w:val="32"/>
          <w:szCs w:val="32"/>
        </w:rPr>
        <w:t>。</w:t>
      </w:r>
      <w:r>
        <w:rPr>
          <w:rFonts w:ascii="Times New Roman" w:hAnsi="Times New Roman" w:eastAsia="方正仿宋_GBK" w:cs="方正仿宋_GBK"/>
          <w:b w:val="0"/>
          <w:bCs w:val="0"/>
          <w:color w:val="auto"/>
          <w:sz w:val="32"/>
          <w:szCs w:val="32"/>
          <w:shd w:val="clear" w:color="auto" w:fill="FFFFFF"/>
        </w:rPr>
        <w:t>其中：财政拨款收入</w:t>
      </w:r>
      <w:r>
        <w:rPr>
          <w:rFonts w:ascii="Times New Roman" w:hAnsi="Times New Roman" w:eastAsia="方正仿宋_GBK" w:cs="方正仿宋_GBK"/>
          <w:b w:val="0"/>
          <w:bCs w:val="0"/>
          <w:color w:val="auto"/>
          <w:sz w:val="32"/>
          <w:szCs w:val="32"/>
        </w:rPr>
        <w:t>76.50</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100</w:t>
      </w:r>
      <w:r>
        <w:rPr>
          <w:rFonts w:hint="eastAsia" w:ascii="Times New Roman" w:hAnsi="Times New Roman" w:eastAsia="方正仿宋_GBK" w:cs="方正仿宋_GBK"/>
          <w:b w:val="0"/>
          <w:bCs w:val="0"/>
          <w:color w:val="auto"/>
          <w:sz w:val="32"/>
          <w:szCs w:val="32"/>
          <w:lang w:val="en-US" w:eastAsia="zh-CN"/>
        </w:rPr>
        <w:t>.0</w:t>
      </w:r>
      <w:r>
        <w:rPr>
          <w:rFonts w:ascii="Times New Roman" w:hAnsi="Times New Roman" w:eastAsia="方正仿宋_GBK" w:cs="方正仿宋_GBK"/>
          <w:b w:val="0"/>
          <w:bCs w:val="0"/>
          <w:color w:val="auto"/>
          <w:sz w:val="32"/>
          <w:szCs w:val="32"/>
          <w:shd w:val="clear" w:color="auto" w:fill="FFFFFF"/>
        </w:rPr>
        <w:t>%；事业收入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万元，占0%；经营收入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万元，占0%；其他收入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万元，占0%。此外，使用非财政拨款结余和专用结余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万元，年初结转和结余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Style w:val="7"/>
          <w:rFonts w:ascii="Times New Roman" w:hAnsi="Times New Roman" w:eastAsia="方正仿宋_GBK" w:cs="方正仿宋_GBK"/>
          <w:b w:val="0"/>
          <w:bCs w:val="0"/>
          <w:color w:val="auto"/>
          <w:sz w:val="32"/>
          <w:szCs w:val="32"/>
          <w:shd w:val="clear" w:color="auto" w:fill="FFFFFF"/>
        </w:rPr>
        <w:t>3.支出情况。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度支出合计</w:t>
      </w:r>
      <w:r>
        <w:rPr>
          <w:rFonts w:ascii="Times New Roman" w:hAnsi="Times New Roman" w:eastAsia="方正仿宋_GBK" w:cs="方正仿宋_GBK"/>
          <w:b w:val="0"/>
          <w:bCs w:val="0"/>
          <w:color w:val="auto"/>
          <w:sz w:val="32"/>
          <w:szCs w:val="32"/>
        </w:rPr>
        <w:t>76.50</w:t>
      </w:r>
      <w:r>
        <w:rPr>
          <w:rFonts w:ascii="Times New Roman" w:hAnsi="Times New Roman" w:eastAsia="方正仿宋_GBK" w:cs="方正仿宋_GBK"/>
          <w:b w:val="0"/>
          <w:bCs w:val="0"/>
          <w:color w:val="auto"/>
          <w:sz w:val="32"/>
          <w:szCs w:val="32"/>
          <w:shd w:val="clear" w:color="auto" w:fill="FFFFFF"/>
        </w:rPr>
        <w:t>万元，与2023年度相比，增加76.50万元，增长100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。其中：基本支出</w:t>
      </w:r>
      <w:r>
        <w:rPr>
          <w:rFonts w:ascii="Times New Roman" w:hAnsi="Times New Roman" w:eastAsia="方正仿宋_GBK" w:cs="方正仿宋_GBK"/>
          <w:b w:val="0"/>
          <w:bCs w:val="0"/>
          <w:color w:val="auto"/>
          <w:sz w:val="32"/>
          <w:szCs w:val="32"/>
        </w:rPr>
        <w:t>76.50</w:t>
      </w:r>
      <w:r>
        <w:rPr>
          <w:rFonts w:ascii="Times New Roman" w:hAnsi="Times New Roman" w:eastAsia="方正仿宋_GBK" w:cs="方正仿宋_GBK"/>
          <w:b w:val="0"/>
          <w:bCs w:val="0"/>
          <w:color w:val="auto"/>
          <w:sz w:val="32"/>
          <w:szCs w:val="32"/>
          <w:shd w:val="clear" w:color="auto" w:fill="FFFFFF"/>
        </w:rPr>
        <w:t>万元，占100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%；项目支出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万元，占0%；经营支出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万元，占0%。此外，结余分配</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4.结转结余情况。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度年末结转和结余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本年度无年末结转和结余</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度财政拨款收、支总计76.50万元。与202</w:t>
      </w:r>
      <w:r>
        <w:rPr>
          <w:rFonts w:hint="eastAsia" w:ascii="Times New Roman" w:hAnsi="Times New Roman" w:eastAsia="方正仿宋_GBK" w:cs="方正仿宋_GBK"/>
          <w:b w:val="0"/>
          <w:bCs w:val="0"/>
          <w:color w:val="auto"/>
          <w:sz w:val="32"/>
          <w:szCs w:val="32"/>
          <w:shd w:val="clear" w:color="auto" w:fill="FFFFFF"/>
          <w:lang w:val="en-US" w:eastAsia="zh-CN"/>
        </w:rPr>
        <w:t>3</w:t>
      </w:r>
      <w:r>
        <w:rPr>
          <w:rFonts w:ascii="Times New Roman" w:hAnsi="Times New Roman" w:eastAsia="方正仿宋_GBK" w:cs="方正仿宋_GBK"/>
          <w:b w:val="0"/>
          <w:bCs w:val="0"/>
          <w:color w:val="auto"/>
          <w:sz w:val="32"/>
          <w:szCs w:val="32"/>
          <w:shd w:val="clear" w:color="auto" w:fill="FFFFFF"/>
        </w:rPr>
        <w:t>年相比，财政拨款收、支总计各增加76.50万元，增长100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1.收入情况。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度一般公共预算财政拨款收入</w:t>
      </w:r>
      <w:r>
        <w:rPr>
          <w:rFonts w:ascii="Times New Roman" w:hAnsi="Times New Roman" w:eastAsia="方正仿宋_GBK" w:cs="方正仿宋_GBK"/>
          <w:b w:val="0"/>
          <w:bCs w:val="0"/>
          <w:color w:val="auto"/>
          <w:sz w:val="32"/>
          <w:szCs w:val="32"/>
        </w:rPr>
        <w:t>76.50</w:t>
      </w:r>
      <w:r>
        <w:rPr>
          <w:rFonts w:ascii="Times New Roman" w:hAnsi="Times New Roman" w:eastAsia="方正仿宋_GBK" w:cs="方正仿宋_GBK"/>
          <w:b w:val="0"/>
          <w:bCs w:val="0"/>
          <w:color w:val="auto"/>
          <w:sz w:val="32"/>
          <w:szCs w:val="32"/>
          <w:shd w:val="clear" w:color="auto" w:fill="FFFFFF"/>
        </w:rPr>
        <w:t>万元，与2023年度相比，增加76.50万元，增长100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。较年初预算数减少34.47万元，下降31.1%。主要原因是</w:t>
      </w:r>
      <w:r>
        <w:rPr>
          <w:rFonts w:hint="eastAsia" w:ascii="Times New Roman" w:hAnsi="Times New Roman" w:eastAsia="方正仿宋_GBK" w:cs="方正仿宋_GBK"/>
          <w:b w:val="0"/>
          <w:bCs w:val="0"/>
          <w:color w:val="auto"/>
          <w:sz w:val="32"/>
          <w:szCs w:val="32"/>
          <w:shd w:val="clear" w:color="auto" w:fill="FFFFFF"/>
          <w:lang w:eastAsia="zh-CN"/>
        </w:rPr>
        <w:t>本年项目支出减少</w:t>
      </w:r>
      <w:r>
        <w:rPr>
          <w:rFonts w:ascii="Times New Roman" w:hAnsi="Times New Roman" w:eastAsia="方正仿宋_GBK" w:cs="方正仿宋_GBK"/>
          <w:b w:val="0"/>
          <w:bCs w:val="0"/>
          <w:color w:val="auto"/>
          <w:sz w:val="32"/>
          <w:szCs w:val="32"/>
          <w:shd w:val="clear" w:color="auto" w:fill="FFFFFF"/>
        </w:rPr>
        <w:t>。此外，年初财政拨款结转和结余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2.支出情况。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度一般公共预算财政拨款支出</w:t>
      </w:r>
      <w:r>
        <w:rPr>
          <w:rFonts w:ascii="Times New Roman" w:hAnsi="Times New Roman" w:eastAsia="方正仿宋_GBK" w:cs="方正仿宋_GBK"/>
          <w:b w:val="0"/>
          <w:bCs w:val="0"/>
          <w:color w:val="auto"/>
          <w:sz w:val="32"/>
          <w:szCs w:val="32"/>
        </w:rPr>
        <w:t>76.50</w:t>
      </w:r>
      <w:r>
        <w:rPr>
          <w:rFonts w:ascii="Times New Roman" w:hAnsi="Times New Roman" w:eastAsia="方正仿宋_GBK" w:cs="方正仿宋_GBK"/>
          <w:b w:val="0"/>
          <w:bCs w:val="0"/>
          <w:color w:val="auto"/>
          <w:sz w:val="32"/>
          <w:szCs w:val="32"/>
          <w:shd w:val="clear" w:color="auto" w:fill="FFFFFF"/>
        </w:rPr>
        <w:t>万元，与2023年度相比，增加76.50万元，增长100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。较年初预算数减少34.47万元，下降31.1%。主要原因是</w:t>
      </w:r>
      <w:r>
        <w:rPr>
          <w:rFonts w:hint="eastAsia" w:ascii="Times New Roman" w:hAnsi="Times New Roman" w:eastAsia="方正仿宋_GBK" w:cs="方正仿宋_GBK"/>
          <w:b w:val="0"/>
          <w:bCs w:val="0"/>
          <w:color w:val="auto"/>
          <w:sz w:val="32"/>
          <w:szCs w:val="32"/>
          <w:shd w:val="clear" w:color="auto" w:fill="FFFFFF"/>
          <w:lang w:eastAsia="zh-CN"/>
        </w:rPr>
        <w:t>本年项目支出减少</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3.结转结余情况。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度年末一般公共预算财政拨款结转和结余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本年度无年末结转和结余</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b w:val="0"/>
          <w:bCs w:val="0"/>
          <w:color w:val="auto"/>
          <w:sz w:val="32"/>
          <w:szCs w:val="32"/>
          <w:shd w:val="clear" w:color="auto" w:fill="FFFFFF"/>
        </w:rPr>
      </w:pPr>
      <w:r>
        <w:rPr>
          <w:rStyle w:val="7"/>
          <w:rFonts w:ascii="Times New Roman" w:hAnsi="Times New Roman" w:eastAsia="方正仿宋_GBK" w:cs="方正仿宋_GBK"/>
          <w:b w:val="0"/>
          <w:bCs w:val="0"/>
          <w:color w:val="auto"/>
          <w:sz w:val="32"/>
          <w:szCs w:val="32"/>
          <w:shd w:val="clear" w:color="auto" w:fill="FFFFFF"/>
        </w:rPr>
        <w:t>4.比较情况。</w:t>
      </w:r>
      <w:r>
        <w:rPr>
          <w:rFonts w:ascii="Times New Roman" w:hAnsi="Times New Roman" w:eastAsia="方正仿宋_GBK" w:cs="方正仿宋_GBK"/>
          <w:b w:val="0"/>
          <w:bCs w:val="0"/>
          <w:color w:val="auto"/>
          <w:sz w:val="32"/>
          <w:szCs w:val="32"/>
          <w:shd w:val="clear" w:color="auto" w:fill="FFFFFF"/>
        </w:rPr>
        <w:t>本单位</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（1）社会保障与就业支出</w:t>
      </w:r>
      <w:r>
        <w:rPr>
          <w:rFonts w:ascii="Times New Roman" w:hAnsi="Times New Roman" w:eastAsia="方正仿宋_GBK" w:cs="方正仿宋_GBK"/>
          <w:b w:val="0"/>
          <w:bCs w:val="0"/>
          <w:color w:val="auto"/>
          <w:sz w:val="32"/>
          <w:szCs w:val="32"/>
        </w:rPr>
        <w:t>70.16</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91.7</w:t>
      </w:r>
      <w:r>
        <w:rPr>
          <w:rFonts w:ascii="Times New Roman" w:hAnsi="Times New Roman" w:eastAsia="方正仿宋_GBK" w:cs="方正仿宋_GBK"/>
          <w:b w:val="0"/>
          <w:bCs w:val="0"/>
          <w:color w:val="auto"/>
          <w:sz w:val="32"/>
          <w:szCs w:val="32"/>
          <w:shd w:val="clear" w:color="auto" w:fill="FFFFFF"/>
        </w:rPr>
        <w:t>%，较年初预算数减少13.35万元，下降16.0%，主要原因是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2</w:t>
      </w:r>
      <w:r>
        <w:rPr>
          <w:rFonts w:ascii="Times New Roman" w:hAnsi="Times New Roman" w:eastAsia="方正仿宋_GBK" w:cs="方正仿宋_GBK"/>
          <w:b w:val="0"/>
          <w:bCs w:val="0"/>
          <w:color w:val="auto"/>
          <w:sz w:val="32"/>
          <w:szCs w:val="32"/>
          <w:shd w:val="clear" w:color="auto" w:fill="FFFFFF"/>
        </w:rPr>
        <w:t>）卫生健康支出</w:t>
      </w:r>
      <w:r>
        <w:rPr>
          <w:rFonts w:ascii="Times New Roman" w:hAnsi="Times New Roman" w:eastAsia="方正仿宋_GBK" w:cs="方正仿宋_GBK"/>
          <w:b w:val="0"/>
          <w:bCs w:val="0"/>
          <w:color w:val="auto"/>
          <w:sz w:val="32"/>
          <w:szCs w:val="32"/>
        </w:rPr>
        <w:t>4.06</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5.3</w:t>
      </w:r>
      <w:r>
        <w:rPr>
          <w:rFonts w:ascii="Times New Roman" w:hAnsi="Times New Roman" w:eastAsia="方正仿宋_GBK" w:cs="方正仿宋_GBK"/>
          <w:b w:val="0"/>
          <w:bCs w:val="0"/>
          <w:color w:val="auto"/>
          <w:sz w:val="32"/>
          <w:szCs w:val="32"/>
          <w:shd w:val="clear" w:color="auto" w:fill="FFFFFF"/>
        </w:rPr>
        <w:t>%，较年初预算数增加0.18万元，增长4.6%，主要原因是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3</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color w:val="auto"/>
          <w:sz w:val="32"/>
          <w:szCs w:val="32"/>
        </w:rPr>
        <w:t>住房保障支出2.28</w:t>
      </w:r>
      <w:r>
        <w:rPr>
          <w:rFonts w:ascii="Times New Roman" w:hAnsi="Times New Roman" w:eastAsia="方正仿宋_GBK" w:cs="方正仿宋_GBK"/>
          <w:b w:val="0"/>
          <w:bCs w:val="0"/>
          <w:color w:val="auto"/>
          <w:sz w:val="32"/>
          <w:szCs w:val="32"/>
          <w:shd w:val="clear" w:color="auto" w:fill="FFFFFF"/>
        </w:rPr>
        <w:t>万元，占</w:t>
      </w:r>
      <w:r>
        <w:rPr>
          <w:rFonts w:hint="eastAsia" w:ascii="Times New Roman" w:hAnsi="Times New Roman" w:eastAsia="方正仿宋_GBK" w:cs="方正仿宋_GBK"/>
          <w:b w:val="0"/>
          <w:bCs w:val="0"/>
          <w:color w:val="auto"/>
          <w:sz w:val="32"/>
          <w:szCs w:val="32"/>
          <w:lang w:val="en-US" w:eastAsia="zh-CN"/>
        </w:rPr>
        <w:t>3.0</w:t>
      </w:r>
      <w:r>
        <w:rPr>
          <w:rFonts w:ascii="Times New Roman" w:hAnsi="Times New Roman" w:eastAsia="方正仿宋_GBK" w:cs="方正仿宋_GBK"/>
          <w:b w:val="0"/>
          <w:bCs w:val="0"/>
          <w:color w:val="auto"/>
          <w:sz w:val="32"/>
          <w:szCs w:val="32"/>
          <w:shd w:val="clear" w:color="auto" w:fill="FFFFFF"/>
        </w:rPr>
        <w:t>%，较年初预算数减少1.30万元，下降36.3%，主要原因是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本年事业单位社保及公积金缴纳金额不足，各单位互相垫支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度一般公共财政拨款基本支出</w:t>
      </w:r>
      <w:r>
        <w:rPr>
          <w:rFonts w:ascii="Times New Roman" w:hAnsi="Times New Roman" w:eastAsia="方正仿宋_GBK" w:cs="方正仿宋_GBK"/>
          <w:b w:val="0"/>
          <w:bCs w:val="0"/>
          <w:color w:val="auto"/>
          <w:sz w:val="32"/>
          <w:szCs w:val="32"/>
        </w:rPr>
        <w:t>76.50</w:t>
      </w:r>
      <w:r>
        <w:rPr>
          <w:rFonts w:ascii="Times New Roman" w:hAnsi="Times New Roman" w:eastAsia="方正仿宋_GBK" w:cs="方正仿宋_GBK"/>
          <w:b w:val="0"/>
          <w:bCs w:val="0"/>
          <w:color w:val="auto"/>
          <w:sz w:val="32"/>
          <w:szCs w:val="32"/>
          <w:shd w:val="clear" w:color="auto" w:fill="FFFFFF"/>
        </w:rPr>
        <w:t>万元。其中：人员经费</w:t>
      </w:r>
      <w:r>
        <w:rPr>
          <w:rFonts w:ascii="Times New Roman" w:hAnsi="Times New Roman" w:eastAsia="方正仿宋_GBK" w:cs="方正仿宋_GBK"/>
          <w:b w:val="0"/>
          <w:bCs w:val="0"/>
          <w:color w:val="auto"/>
          <w:sz w:val="32"/>
          <w:szCs w:val="32"/>
        </w:rPr>
        <w:t>62.83</w:t>
      </w:r>
      <w:r>
        <w:rPr>
          <w:rFonts w:ascii="Times New Roman" w:hAnsi="Times New Roman" w:eastAsia="方正仿宋_GBK" w:cs="方正仿宋_GBK"/>
          <w:b w:val="0"/>
          <w:bCs w:val="0"/>
          <w:color w:val="auto"/>
          <w:sz w:val="32"/>
          <w:szCs w:val="32"/>
          <w:shd w:val="clear" w:color="auto" w:fill="FFFFFF"/>
        </w:rPr>
        <w:t>万元，与2023年度相比，增加62.83万元，增长100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。人员经费用途主要包括</w:t>
      </w:r>
      <w:r>
        <w:rPr>
          <w:rFonts w:hint="eastAsia" w:ascii="Times New Roman" w:hAnsi="Times New Roman" w:eastAsia="方正仿宋_GBK" w:cs="方正仿宋_GBK"/>
          <w:b w:val="0"/>
          <w:bCs w:val="0"/>
          <w:color w:val="auto"/>
          <w:sz w:val="32"/>
          <w:szCs w:val="32"/>
          <w:shd w:val="clear" w:color="auto" w:fill="FFFFFF"/>
          <w:lang w:eastAsia="zh-CN"/>
        </w:rPr>
        <w:t>发放人员基本工资、津贴补贴、绩效工资、社保待遇等</w:t>
      </w:r>
      <w:r>
        <w:rPr>
          <w:rFonts w:ascii="Times New Roman" w:hAnsi="Times New Roman" w:eastAsia="方正仿宋_GBK" w:cs="方正仿宋_GBK"/>
          <w:b w:val="0"/>
          <w:bCs w:val="0"/>
          <w:color w:val="auto"/>
          <w:sz w:val="32"/>
          <w:szCs w:val="32"/>
          <w:shd w:val="clear" w:color="auto" w:fill="FFFFFF"/>
        </w:rPr>
        <w:t>。公用经费</w:t>
      </w:r>
      <w:r>
        <w:rPr>
          <w:rFonts w:ascii="Times New Roman" w:hAnsi="Times New Roman" w:eastAsia="方正仿宋_GBK" w:cs="方正仿宋_GBK"/>
          <w:b w:val="0"/>
          <w:bCs w:val="0"/>
          <w:color w:val="auto"/>
          <w:sz w:val="32"/>
          <w:szCs w:val="32"/>
        </w:rPr>
        <w:t>13.66</w:t>
      </w:r>
      <w:r>
        <w:rPr>
          <w:rFonts w:ascii="Times New Roman" w:hAnsi="Times New Roman" w:eastAsia="方正仿宋_GBK" w:cs="方正仿宋_GBK"/>
          <w:b w:val="0"/>
          <w:bCs w:val="0"/>
          <w:color w:val="auto"/>
          <w:sz w:val="32"/>
          <w:szCs w:val="32"/>
          <w:shd w:val="clear" w:color="auto" w:fill="FFFFFF"/>
        </w:rPr>
        <w:t>万元，与2023年度相比，增加13.66万元，增长100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bookmarkStart w:id="0" w:name="_GoBack"/>
      <w:bookmarkEnd w:id="0"/>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eastAsia="zh-CN"/>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。公用经费用途主要包括</w:t>
      </w:r>
      <w:r>
        <w:rPr>
          <w:rFonts w:hint="eastAsia" w:ascii="Times New Roman" w:hAnsi="Times New Roman" w:eastAsia="方正仿宋_GBK" w:cs="方正仿宋_GBK"/>
          <w:b w:val="0"/>
          <w:bCs w:val="0"/>
          <w:color w:val="auto"/>
          <w:sz w:val="32"/>
          <w:szCs w:val="32"/>
          <w:shd w:val="clear" w:color="auto" w:fill="FFFFFF"/>
          <w:lang w:eastAsia="zh-CN"/>
        </w:rPr>
        <w:t>开支办公经费、维修（护）费、委托业务费、工会经费、印刷费、水电费等</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default" w:ascii="Times New Roman" w:hAnsi="Times New Roman" w:eastAsia="方正仿宋_GBK" w:cs="方正仿宋_GBK"/>
          <w:b w:val="0"/>
          <w:bCs w:val="0"/>
          <w:color w:val="auto"/>
          <w:sz w:val="32"/>
          <w:szCs w:val="32"/>
        </w:rPr>
        <w:t>本单位</w:t>
      </w:r>
      <w:r>
        <w:rPr>
          <w:rFonts w:hint="eastAsia" w:ascii="Times New Roman" w:hAnsi="Times New Roman" w:eastAsia="方正仿宋_GBK" w:cs="方正仿宋_GBK"/>
          <w:b w:val="0"/>
          <w:bCs w:val="0"/>
          <w:color w:val="auto"/>
          <w:sz w:val="32"/>
          <w:szCs w:val="32"/>
          <w:lang w:eastAsia="zh-CN"/>
        </w:rPr>
        <w:t>2024年</w:t>
      </w:r>
      <w:r>
        <w:rPr>
          <w:rFonts w:hint="default" w:ascii="Times New Roman" w:hAnsi="Times New Roman" w:eastAsia="方正仿宋_GBK" w:cs="方正仿宋_GBK"/>
          <w:b w:val="0"/>
          <w:bCs w:val="0"/>
          <w:color w:val="auto"/>
          <w:sz w:val="32"/>
          <w:szCs w:val="32"/>
        </w:rPr>
        <w:t>度无政府性基金预算财政拨款收支。</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default" w:ascii="Times New Roman" w:hAnsi="Times New Roman" w:eastAsia="方正仿宋_GBK" w:cs="方正仿宋_GBK"/>
          <w:b w:val="0"/>
          <w:bCs w:val="0"/>
          <w:color w:val="auto"/>
          <w:sz w:val="32"/>
          <w:szCs w:val="32"/>
        </w:rPr>
        <w:t>本单位</w:t>
      </w:r>
      <w:r>
        <w:rPr>
          <w:rFonts w:hint="eastAsia" w:ascii="Times New Roman" w:hAnsi="Times New Roman" w:eastAsia="方正仿宋_GBK" w:cs="方正仿宋_GBK"/>
          <w:b w:val="0"/>
          <w:bCs w:val="0"/>
          <w:color w:val="auto"/>
          <w:sz w:val="32"/>
          <w:szCs w:val="32"/>
          <w:lang w:eastAsia="zh-CN"/>
        </w:rPr>
        <w:t>2024年</w:t>
      </w:r>
      <w:r>
        <w:rPr>
          <w:rFonts w:hint="default" w:ascii="Times New Roman" w:hAnsi="Times New Roman" w:eastAsia="方正仿宋_GBK" w:cs="方正仿宋_GBK"/>
          <w:b w:val="0"/>
          <w:bCs w:val="0"/>
          <w:color w:val="auto"/>
          <w:sz w:val="32"/>
          <w:szCs w:val="32"/>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hint="eastAsia" w:ascii="Times New Roman" w:hAnsi="Times New Roman" w:eastAsia="方正黑体_GBK" w:cs="方正黑体_GBK"/>
          <w:b w:val="0"/>
          <w:bCs w:val="0"/>
          <w:color w:val="auto"/>
          <w:sz w:val="32"/>
          <w:szCs w:val="32"/>
          <w:shd w:val="clear" w:color="auto" w:fill="FFFFFF"/>
        </w:rPr>
        <w:t>三、</w:t>
      </w:r>
      <w:r>
        <w:rPr>
          <w:rStyle w:val="7"/>
          <w:rFonts w:hint="eastAsia" w:ascii="Times New Roman" w:hAnsi="Times New Roman" w:eastAsia="方正黑体_GBK" w:cs="方正黑体_GBK"/>
          <w:b w:val="0"/>
          <w:bCs w:val="0"/>
          <w:color w:val="auto"/>
          <w:sz w:val="32"/>
          <w:szCs w:val="32"/>
          <w:shd w:val="clear" w:color="auto" w:fill="FFFFFF"/>
          <w:lang w:eastAsia="zh-CN"/>
        </w:rPr>
        <w:t>财政拨款</w:t>
      </w:r>
      <w:r>
        <w:rPr>
          <w:rStyle w:val="7"/>
          <w:rFonts w:hint="eastAsia" w:ascii="Times New Roman" w:hAnsi="Times New Roman" w:eastAsia="方正黑体_GBK" w:cs="方正黑体_GBK"/>
          <w:b w:val="0"/>
          <w:bCs w:val="0"/>
          <w:color w:val="auto"/>
          <w:sz w:val="32"/>
          <w:szCs w:val="32"/>
          <w:shd w:val="clear" w:color="auto" w:fill="FFFFFF"/>
        </w:rPr>
        <w:t>“三公”经费情况说明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度“三公”经费支出共计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万元，较年初预算数无增减，主要原因是</w:t>
      </w:r>
      <w:r>
        <w:rPr>
          <w:rFonts w:hint="eastAsia" w:ascii="Times New Roman" w:hAnsi="Times New Roman" w:eastAsia="方正仿宋_GBK" w:cs="方正仿宋_GBK"/>
          <w:b w:val="0"/>
          <w:bCs w:val="0"/>
          <w:color w:val="auto"/>
          <w:sz w:val="32"/>
          <w:szCs w:val="32"/>
          <w:shd w:val="clear" w:color="auto" w:fill="FFFFFF"/>
          <w:lang w:eastAsia="zh-CN"/>
        </w:rPr>
        <w:t>本单位未单独预算</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均在机关经费中列支</w:t>
      </w:r>
      <w:r>
        <w:rPr>
          <w:rFonts w:ascii="Times New Roman" w:hAnsi="Times New Roman" w:eastAsia="方正仿宋_GBK" w:cs="方正仿宋_GBK"/>
          <w:b w:val="0"/>
          <w:bCs w:val="0"/>
          <w:color w:val="auto"/>
          <w:sz w:val="32"/>
          <w:szCs w:val="32"/>
          <w:shd w:val="clear" w:color="auto" w:fill="FFFFFF"/>
        </w:rPr>
        <w:t>。较上年支出数无增减，主要原因是</w:t>
      </w:r>
      <w:r>
        <w:rPr>
          <w:rFonts w:hint="eastAsia" w:ascii="Times New Roman" w:hAnsi="Times New Roman" w:eastAsia="方正仿宋_GBK" w:cs="方正仿宋_GBK"/>
          <w:b w:val="0"/>
          <w:bCs w:val="0"/>
          <w:color w:val="auto"/>
          <w:sz w:val="32"/>
          <w:szCs w:val="32"/>
          <w:shd w:val="clear" w:color="auto" w:fill="FFFFFF"/>
          <w:lang w:eastAsia="zh-CN"/>
        </w:rPr>
        <w:t>本单位未单独预算</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均在机关经费中列支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度本单位因公出国（境）费用</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公务车购置费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公务车运行维护费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公务接待费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度本单位因公出国（境）共计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个团组，</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人；公务用车购置</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辆，公务车保有量为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辆；国内公务接待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人，其中：国内外事接待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人；国（境）外公务接待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本单位人均接待费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元，车均购置费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万元，车均维护费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度本单位因公出国（境）共计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个团组，</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人；公务用车购置</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辆，公务车保有量为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辆；国内公务接待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人，其中：国内外事接待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人；国（境）外公务接待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本单位人均接待费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元，车均购置费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万元，车均维护费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本年度会议费支出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厉行节俭，缩减会议支出</w:t>
      </w:r>
      <w:r>
        <w:rPr>
          <w:rFonts w:ascii="Times New Roman" w:hAnsi="Times New Roman" w:eastAsia="方正仿宋_GBK" w:cs="方正仿宋_GBK"/>
          <w:b w:val="0"/>
          <w:bCs w:val="0"/>
          <w:color w:val="auto"/>
          <w:sz w:val="32"/>
          <w:szCs w:val="32"/>
          <w:shd w:val="clear" w:color="auto" w:fill="FFFFFF"/>
        </w:rPr>
        <w:t>。本年度培训费支出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万元，与2023年度相比，无变化，主要原因是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厉行节俭，缩减培训支出</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度本单位机关运行经费支出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r>
        <w:rPr>
          <w:rFonts w:hint="default" w:ascii="Times New Roman" w:hAnsi="Times New Roman" w:eastAsia="方正仿宋_GBK" w:cs="方正仿宋_GBK"/>
          <w:b w:val="0"/>
          <w:bCs w:val="0"/>
          <w:color w:val="auto"/>
          <w:sz w:val="32"/>
          <w:szCs w:val="32"/>
        </w:rPr>
        <w:t>按照部门决算列报口径，我单位不在机关运行经费统计范围之内。</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截至</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12月31日，本单位共有车辆</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辆，其中，副部（省）级及以上领导用车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辆、主要负责人用车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辆、机要通信用车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辆、应急保障用车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辆、执法执勤用车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辆，特种专业技术用车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辆，离退休干部用车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辆。单价100万元（含）以上专用设备</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台（套）。</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度我单位未发生政府采购事项，无相关经费支出。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方正黑体_GBK" w:cs="方正黑体_GBK"/>
          <w:b w:val="0"/>
          <w:bCs w:val="0"/>
          <w:color w:val="auto"/>
          <w:sz w:val="32"/>
          <w:szCs w:val="32"/>
          <w:shd w:val="clear" w:color="auto" w:fill="FFFFFF"/>
          <w:lang w:val="en-US" w:eastAsia="zh-CN"/>
        </w:rPr>
      </w:pPr>
      <w:r>
        <w:rPr>
          <w:rStyle w:val="7"/>
          <w:rFonts w:hint="eastAsia" w:ascii="Times New Roman" w:hAnsi="Times New Roman" w:eastAsia="方正黑体_GBK" w:cs="方正黑体_GBK"/>
          <w:b w:val="0"/>
          <w:bCs w:val="0"/>
          <w:color w:val="auto"/>
          <w:sz w:val="32"/>
          <w:szCs w:val="32"/>
          <w:shd w:val="clear" w:color="auto" w:fill="FFFFFF"/>
          <w:lang w:val="en-US" w:eastAsia="zh-CN"/>
        </w:rPr>
        <w:t>五、2024年度预算绩效管理情况说明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根据预算绩效管理要求，我单位对</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个项目开展了绩效自评，其中，以填报自评表形式开展自评</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项，涉及资金</w:t>
      </w:r>
      <w:r>
        <w:rPr>
          <w:rFonts w:hint="eastAsia" w:ascii="Times New Roman" w:hAnsi="Times New Roman" w:eastAsia="方正仿宋_GBK" w:cs="方正仿宋_GBK"/>
          <w:b w:val="0"/>
          <w:bCs w:val="0"/>
          <w:color w:val="auto"/>
          <w:kern w:val="0"/>
          <w:sz w:val="32"/>
          <w:szCs w:val="32"/>
          <w:shd w:val="clear" w:fill="FFFFFF"/>
          <w:lang w:val="en-US" w:eastAsia="zh-CN"/>
        </w:rPr>
        <w:t>2</w:t>
      </w:r>
      <w:r>
        <w:rPr>
          <w:rFonts w:hint="eastAsia" w:ascii="Times New Roman" w:hAnsi="Times New Roman" w:eastAsia="方正仿宋_GBK" w:cs="方正仿宋_GBK"/>
          <w:b w:val="0"/>
          <w:bCs w:val="0"/>
          <w:color w:val="auto"/>
          <w:kern w:val="0"/>
          <w:sz w:val="32"/>
          <w:szCs w:val="32"/>
          <w:shd w:val="clear"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楷体_GBK" w:cs="方正楷体_GBK"/>
          <w:b w:val="0"/>
          <w:bCs w:val="0"/>
          <w:color w:val="auto"/>
          <w:sz w:val="32"/>
          <w:szCs w:val="32"/>
          <w:shd w:val="clear" w:color="auto" w:fill="FFFFFF"/>
        </w:rPr>
      </w:pPr>
      <w:r>
        <w:rPr>
          <w:rStyle w:val="7"/>
          <w:rFonts w:hint="eastAsia" w:ascii="Times New Roman" w:hAnsi="Times New Roman" w:eastAsia="方正楷体_GBK" w:cs="方正楷体_GBK"/>
          <w:b w:val="0"/>
          <w:bCs w:val="0"/>
          <w:color w:val="auto"/>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详见附件</w:t>
      </w:r>
      <w:r>
        <w:rPr>
          <w:rFonts w:hint="eastAsia" w:ascii="Times New Roman" w:hAnsi="Times New Roman" w:eastAsia="方正仿宋_GBK" w:cs="方正仿宋_GBK"/>
          <w:b w:val="0"/>
          <w:bCs w:val="0"/>
          <w:color w:val="auto"/>
          <w:kern w:val="0"/>
          <w:sz w:val="32"/>
          <w:szCs w:val="32"/>
          <w:shd w:val="clear" w:fill="FFFFFF"/>
          <w:lang w:eastAsia="zh-CN"/>
        </w:rPr>
        <w:t>重庆市铜梁区维新镇劳动就业和社会保障服务所</w:t>
      </w:r>
      <w:r>
        <w:rPr>
          <w:rFonts w:hint="eastAsia" w:ascii="Times New Roman" w:hAnsi="Times New Roman" w:eastAsia="方正仿宋_GBK" w:cs="方正仿宋_GBK"/>
          <w:b w:val="0"/>
          <w:bCs w:val="0"/>
          <w:color w:val="auto"/>
          <w:kern w:val="0"/>
          <w:sz w:val="32"/>
          <w:szCs w:val="32"/>
          <w:shd w:val="clear" w:fill="FFFFFF"/>
          <w:lang w:val="en-US" w:eastAsia="zh-CN"/>
        </w:rPr>
        <w:t>2024年度项目绩效自评表</w:t>
      </w:r>
      <w:r>
        <w:rPr>
          <w:rFonts w:hint="eastAsia" w:ascii="Times New Roman" w:hAnsi="Times New Roman" w:eastAsia="方正仿宋_GBK" w:cs="方正仿宋_GBK"/>
          <w:b w:val="0"/>
          <w:bCs w:val="0"/>
          <w:color w:val="auto"/>
          <w:kern w:val="0"/>
          <w:sz w:val="32"/>
          <w:szCs w:val="32"/>
          <w:shd w:val="clear"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我单位对</w:t>
      </w:r>
      <w:r>
        <w:rPr>
          <w:rFonts w:hint="eastAsia" w:ascii="Times New Roman" w:hAnsi="Times New Roman" w:eastAsia="方正仿宋_GBK" w:cs="方正仿宋_GBK"/>
          <w:b w:val="0"/>
          <w:bCs w:val="0"/>
          <w:color w:val="auto"/>
          <w:kern w:val="0"/>
          <w:sz w:val="32"/>
          <w:szCs w:val="32"/>
          <w:shd w:val="clear" w:fill="FFFFFF"/>
          <w:lang w:val="en-US" w:eastAsia="zh-CN"/>
        </w:rPr>
        <w:t>1个</w:t>
      </w:r>
      <w:r>
        <w:rPr>
          <w:rFonts w:hint="eastAsia" w:ascii="Times New Roman" w:hAnsi="Times New Roman" w:eastAsia="方正仿宋_GBK" w:cs="方正仿宋_GBK"/>
          <w:b w:val="0"/>
          <w:bCs w:val="0"/>
          <w:color w:val="auto"/>
          <w:kern w:val="0"/>
          <w:sz w:val="32"/>
          <w:szCs w:val="32"/>
          <w:shd w:val="clear" w:fill="FFFFFF"/>
        </w:rPr>
        <w:t>项目进行绩效自评，其中</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个已完成年度绩效目标，</w:t>
      </w:r>
      <w:r>
        <w:rPr>
          <w:rFonts w:hint="eastAsia" w:ascii="Times New Roman" w:hAnsi="Times New Roman" w:eastAsia="方正仿宋_GBK" w:cs="方正仿宋_GBK"/>
          <w:b w:val="0"/>
          <w:bCs w:val="0"/>
          <w:color w:val="auto"/>
          <w:kern w:val="0"/>
          <w:sz w:val="32"/>
          <w:szCs w:val="32"/>
          <w:shd w:val="clear" w:fill="FFFFFF"/>
          <w:lang w:val="en-US" w:eastAsia="zh-CN"/>
        </w:rPr>
        <w:t>0</w:t>
      </w:r>
      <w:r>
        <w:rPr>
          <w:rFonts w:hint="eastAsia" w:ascii="Times New Roman" w:hAnsi="Times New Roman" w:eastAsia="方正仿宋_GBK" w:cs="方正仿宋_GBK"/>
          <w:b w:val="0"/>
          <w:bCs w:val="0"/>
          <w:color w:val="auto"/>
          <w:kern w:val="0"/>
          <w:sz w:val="32"/>
          <w:szCs w:val="32"/>
          <w:shd w:val="clear" w:fill="FFFFFF"/>
        </w:rPr>
        <w:t>个未完成年度绩效目标。</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7"/>
          <w:rFonts w:hint="default" w:ascii="Times New Roman" w:hAnsi="Times New Roman" w:eastAsia="方正楷体_GBK" w:cs="方正楷体_GBK"/>
          <w:b w:val="0"/>
          <w:bCs w:val="0"/>
          <w:color w:val="auto"/>
          <w:sz w:val="32"/>
          <w:szCs w:val="32"/>
          <w:shd w:val="clear" w:color="auto" w:fill="FFFFFF"/>
          <w:lang w:val="en-US" w:eastAsia="zh-CN"/>
        </w:rPr>
      </w:pPr>
      <w:r>
        <w:rPr>
          <w:rStyle w:val="7"/>
          <w:rFonts w:hint="eastAsia" w:ascii="Times New Roman" w:hAnsi="Times New Roman" w:eastAsia="方正楷体_GBK" w:cs="方正楷体_GBK"/>
          <w:b w:val="0"/>
          <w:bCs w:val="0"/>
          <w:color w:val="auto"/>
          <w:sz w:val="32"/>
          <w:szCs w:val="32"/>
          <w:shd w:val="clear" w:color="auto" w:fill="FFFFFF"/>
          <w:lang w:val="en-US" w:eastAsia="zh-CN"/>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shd w:val="clear" w:fill="FFFFFF"/>
          <w:lang w:val="en-US" w:eastAsia="zh-CN"/>
        </w:rPr>
      </w:pPr>
      <w:r>
        <w:rPr>
          <w:rFonts w:hint="eastAsia" w:ascii="Times New Roman" w:hAnsi="Times New Roman" w:eastAsia="方正仿宋_GBK" w:cs="方正仿宋_GBK"/>
          <w:b w:val="0"/>
          <w:bCs w:val="0"/>
          <w:color w:val="auto"/>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方正黑体_GBK" w:cs="方正黑体_GBK"/>
          <w:b w:val="0"/>
          <w:bCs w:val="0"/>
          <w:color w:val="auto"/>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（一）财政拨款收入：</w:t>
      </w:r>
      <w:r>
        <w:rPr>
          <w:rFonts w:hint="eastAsia" w:ascii="Times New Roman" w:hAnsi="Times New Roman" w:eastAsia="方正仿宋_GBK" w:cs="方正仿宋_GBK"/>
          <w:b w:val="0"/>
          <w:bCs w:val="0"/>
          <w:color w:val="auto"/>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（二）事业收入：</w:t>
      </w:r>
      <w:r>
        <w:rPr>
          <w:rFonts w:hint="eastAsia" w:ascii="Times New Roman" w:hAnsi="Times New Roman" w:eastAsia="方正仿宋_GBK" w:cs="方正仿宋_GBK"/>
          <w:b w:val="0"/>
          <w:bCs w:val="0"/>
          <w:color w:val="auto"/>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（三）经营收入：</w:t>
      </w:r>
      <w:r>
        <w:rPr>
          <w:rFonts w:hint="eastAsia" w:ascii="Times New Roman" w:hAnsi="Times New Roman" w:eastAsia="方正仿宋_GBK" w:cs="方正仿宋_GBK"/>
          <w:b w:val="0"/>
          <w:bCs w:val="0"/>
          <w:color w:val="auto"/>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（四）其他收入：</w:t>
      </w:r>
      <w:r>
        <w:rPr>
          <w:rFonts w:hint="eastAsia" w:ascii="Times New Roman" w:hAnsi="Times New Roman" w:eastAsia="方正仿宋_GBK" w:cs="方正仿宋_GBK"/>
          <w:b w:val="0"/>
          <w:bCs w:val="0"/>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（五）使用非财政拨款结余：</w:t>
      </w:r>
      <w:r>
        <w:rPr>
          <w:rFonts w:hint="eastAsia" w:ascii="Times New Roman" w:hAnsi="Times New Roman" w:eastAsia="方正仿宋_GBK" w:cs="方正仿宋_GBK"/>
          <w:b w:val="0"/>
          <w:bCs w:val="0"/>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（六）年初结转和结余：</w:t>
      </w:r>
      <w:r>
        <w:rPr>
          <w:rFonts w:hint="eastAsia" w:ascii="Times New Roman" w:hAnsi="Times New Roman" w:eastAsia="方正仿宋_GBK" w:cs="方正仿宋_GBK"/>
          <w:b w:val="0"/>
          <w:bCs w:val="0"/>
          <w:color w:val="auto"/>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（七）结余分配：</w:t>
      </w:r>
      <w:r>
        <w:rPr>
          <w:rFonts w:hint="eastAsia" w:ascii="Times New Roman" w:hAnsi="Times New Roman" w:eastAsia="方正仿宋_GBK" w:cs="方正仿宋_GBK"/>
          <w:b w:val="0"/>
          <w:bCs w:val="0"/>
          <w:color w:val="auto"/>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（八）年末结转和结余：</w:t>
      </w:r>
      <w:r>
        <w:rPr>
          <w:rFonts w:hint="eastAsia" w:ascii="Times New Roman" w:hAnsi="Times New Roman" w:eastAsia="方正仿宋_GBK" w:cs="方正仿宋_GBK"/>
          <w:b w:val="0"/>
          <w:bCs w:val="0"/>
          <w:color w:val="auto"/>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（九）基本支出：</w:t>
      </w:r>
      <w:r>
        <w:rPr>
          <w:rFonts w:hint="eastAsia" w:ascii="Times New Roman" w:hAnsi="Times New Roman" w:eastAsia="方正仿宋_GBK" w:cs="方正仿宋_GBK"/>
          <w:b w:val="0"/>
          <w:bCs w:val="0"/>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（十）项目支出：</w:t>
      </w:r>
      <w:r>
        <w:rPr>
          <w:rFonts w:hint="eastAsia" w:ascii="Times New Roman" w:hAnsi="Times New Roman" w:eastAsia="方正仿宋_GBK" w:cs="方正仿宋_GBK"/>
          <w:b w:val="0"/>
          <w:bCs w:val="0"/>
          <w:color w:val="auto"/>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（十一）经营支出：</w:t>
      </w:r>
      <w:r>
        <w:rPr>
          <w:rFonts w:hint="eastAsia" w:ascii="Times New Roman" w:hAnsi="Times New Roman" w:eastAsia="方正仿宋_GBK" w:cs="方正仿宋_GBK"/>
          <w:b w:val="0"/>
          <w:bCs w:val="0"/>
          <w:color w:val="auto"/>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（十二）“三公”经费：</w:t>
      </w:r>
      <w:r>
        <w:rPr>
          <w:rFonts w:hint="eastAsia" w:ascii="Times New Roman" w:hAnsi="Times New Roman" w:eastAsia="方正仿宋_GBK" w:cs="方正仿宋_GBK"/>
          <w:b w:val="0"/>
          <w:bCs w:val="0"/>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（十三）机关运行经费：</w:t>
      </w:r>
      <w:r>
        <w:rPr>
          <w:rFonts w:hint="eastAsia" w:ascii="Times New Roman" w:hAnsi="Times New Roman" w:eastAsia="方正仿宋_GBK" w:cs="方正仿宋_GBK"/>
          <w:b w:val="0"/>
          <w:bCs w:val="0"/>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b w:val="0"/>
          <w:bCs w:val="0"/>
          <w:color w:val="auto"/>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b w:val="0"/>
          <w:bCs w:val="0"/>
          <w:color w:val="auto"/>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b w:val="0"/>
          <w:bCs w:val="0"/>
          <w:color w:val="auto"/>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b w:val="0"/>
          <w:bCs w:val="0"/>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黑体" w:cs="黑体"/>
          <w:b w:val="0"/>
          <w:bCs w:val="0"/>
          <w:color w:val="auto"/>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color w:val="auto"/>
          <w:kern w:val="0"/>
          <w:sz w:val="32"/>
          <w:szCs w:val="32"/>
          <w:lang w:val="en-US" w:eastAsia="zh-CN"/>
        </w:rPr>
      </w:pPr>
      <w:r>
        <w:rPr>
          <w:rFonts w:hint="eastAsia" w:ascii="Times New Roman" w:hAnsi="Times New Roman" w:eastAsia="方正仿宋_GBK" w:cs="方正仿宋_GBK"/>
          <w:b w:val="0"/>
          <w:bCs w:val="0"/>
          <w:color w:val="auto"/>
          <w:kern w:val="0"/>
          <w:sz w:val="32"/>
          <w:szCs w:val="32"/>
          <w:shd w:val="clear" w:fill="FFFFFF"/>
        </w:rPr>
        <w:t>本单位决算公开信息反馈和联系方式：</w:t>
      </w:r>
      <w:r>
        <w:rPr>
          <w:rFonts w:hint="eastAsia" w:ascii="Times New Roman" w:hAnsi="Times New Roman" w:eastAsia="方正仿宋_GBK" w:cs="方正仿宋_GBK"/>
          <w:b w:val="0"/>
          <w:bCs w:val="0"/>
          <w:color w:val="auto"/>
          <w:kern w:val="0"/>
          <w:sz w:val="32"/>
          <w:szCs w:val="32"/>
          <w:shd w:val="clear" w:fill="FFFFFF"/>
          <w:lang w:val="en-US" w:eastAsia="zh-CN"/>
        </w:rPr>
        <w:t xml:space="preserve">华娅 </w:t>
      </w:r>
      <w:r>
        <w:rPr>
          <w:rFonts w:hint="eastAsia" w:ascii="Times New Roman" w:hAnsi="Times New Roman" w:eastAsia="方正仿宋_GBK" w:cs="方正仿宋_GBK"/>
          <w:b w:val="0"/>
          <w:bCs w:val="0"/>
          <w:color w:val="auto"/>
          <w:kern w:val="0"/>
          <w:sz w:val="32"/>
          <w:szCs w:val="32"/>
          <w:shd w:val="clear" w:fill="FFFFFF"/>
        </w:rPr>
        <w:t>023-</w:t>
      </w:r>
      <w:r>
        <w:rPr>
          <w:rFonts w:hint="eastAsia" w:ascii="Times New Roman" w:hAnsi="Times New Roman" w:eastAsia="方正仿宋_GBK" w:cs="方正仿宋_GBK"/>
          <w:b w:val="0"/>
          <w:bCs w:val="0"/>
          <w:color w:val="auto"/>
          <w:kern w:val="0"/>
          <w:sz w:val="32"/>
          <w:szCs w:val="32"/>
          <w:shd w:val="clear" w:fill="FFFFFF"/>
          <w:lang w:val="en-US" w:eastAsia="zh-CN"/>
        </w:rPr>
        <w:t>45862231</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Style w:val="11"/>
          <w:rFonts w:hint="eastAsia" w:ascii="Times New Roman" w:hAnsi="Times New Roman" w:eastAsia="方正仿宋_GBK" w:cs="方正仿宋_GBK"/>
          <w:b w:val="0"/>
          <w:bCs w:val="0"/>
          <w:color w:val="auto"/>
          <w:sz w:val="32"/>
          <w:szCs w:val="32"/>
          <w:shd w:val="clear" w:fill="FFFF00"/>
          <w:lang w:val="en-US" w:eastAsia="zh-CN"/>
        </w:rPr>
      </w:pPr>
    </w:p>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4540C71"/>
    <w:rsid w:val="06A2550B"/>
    <w:rsid w:val="06F80EE2"/>
    <w:rsid w:val="07001CCA"/>
    <w:rsid w:val="075678DB"/>
    <w:rsid w:val="08051BCA"/>
    <w:rsid w:val="08887FC5"/>
    <w:rsid w:val="08B72601"/>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1F09B5"/>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5F7497D"/>
    <w:rsid w:val="15FD6D27"/>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7D87FFE"/>
    <w:rsid w:val="29310A5F"/>
    <w:rsid w:val="29C37A35"/>
    <w:rsid w:val="29C95E09"/>
    <w:rsid w:val="2A076083"/>
    <w:rsid w:val="2A73162E"/>
    <w:rsid w:val="2B167953"/>
    <w:rsid w:val="2B200583"/>
    <w:rsid w:val="2B8209DE"/>
    <w:rsid w:val="2C161D32"/>
    <w:rsid w:val="2C2D3EC7"/>
    <w:rsid w:val="2C6762A3"/>
    <w:rsid w:val="2D8D2A49"/>
    <w:rsid w:val="2F295E30"/>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8EE59CE"/>
    <w:rsid w:val="39166507"/>
    <w:rsid w:val="39B82A39"/>
    <w:rsid w:val="39F33306"/>
    <w:rsid w:val="3B1705E5"/>
    <w:rsid w:val="3B18334B"/>
    <w:rsid w:val="3B36794F"/>
    <w:rsid w:val="3B544954"/>
    <w:rsid w:val="3BBF6D9E"/>
    <w:rsid w:val="3BF014AD"/>
    <w:rsid w:val="3C6A5B02"/>
    <w:rsid w:val="3D2757A1"/>
    <w:rsid w:val="3D3D3CD2"/>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7D3BE2"/>
    <w:rsid w:val="44A854C2"/>
    <w:rsid w:val="44DD597D"/>
    <w:rsid w:val="453369C3"/>
    <w:rsid w:val="465B470D"/>
    <w:rsid w:val="468A3771"/>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567068F"/>
    <w:rsid w:val="56530F5D"/>
    <w:rsid w:val="580E66C3"/>
    <w:rsid w:val="5842572D"/>
    <w:rsid w:val="597A4BA3"/>
    <w:rsid w:val="5AE75037"/>
    <w:rsid w:val="5B58571C"/>
    <w:rsid w:val="5B8376C2"/>
    <w:rsid w:val="5B96133A"/>
    <w:rsid w:val="5BA37FCD"/>
    <w:rsid w:val="5C1336B7"/>
    <w:rsid w:val="5C263CE4"/>
    <w:rsid w:val="5C5D2777"/>
    <w:rsid w:val="5D290C69"/>
    <w:rsid w:val="5D537F41"/>
    <w:rsid w:val="5EFA176D"/>
    <w:rsid w:val="5F0247F9"/>
    <w:rsid w:val="5F2D4A41"/>
    <w:rsid w:val="601C34ED"/>
    <w:rsid w:val="60A958A9"/>
    <w:rsid w:val="60D22ADB"/>
    <w:rsid w:val="60E33512"/>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D0D21D6"/>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6"/>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2025-10-15T01:49:55Z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9EDAFD8FD9424A54844071572B3E9A06_13</vt:lpwstr>
  </property>
</Properties>
</file>