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1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维新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镇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人民政府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维新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eastAsia="zh-CN"/>
              </w:rPr>
              <w:t>人民政府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Courier 10 Pitc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NTQ2OWUzODE5YzYxN2QwNzA1ZTg3Y2Y4MTU5OTMifQ=="/>
  </w:docVars>
  <w:rsids>
    <w:rsidRoot w:val="00000000"/>
    <w:rsid w:val="03D13A60"/>
    <w:rsid w:val="0E636B28"/>
    <w:rsid w:val="1DBA6A51"/>
    <w:rsid w:val="2A471A80"/>
    <w:rsid w:val="485F490A"/>
    <w:rsid w:val="723DF47F"/>
    <w:rsid w:val="DF9B71CC"/>
    <w:rsid w:val="EABF2B23"/>
    <w:rsid w:val="FFF60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</Words>
  <Characters>239</Characters>
  <Lines>1</Lines>
  <Paragraphs>1</Paragraphs>
  <TotalTime>5</TotalTime>
  <ScaleCrop>false</ScaleCrop>
  <LinksUpToDate>false</LinksUpToDate>
  <CharactersWithSpaces>239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2020-01-22T17:41:00Z</dcterms:created>
  <dc:creator>Administrator</dc:creator>
  <cp:lastModifiedBy>Uos</cp:lastModifiedBy>
  <cp:lastPrinted>2022-02-11T22:55:00Z</cp:lastPrinted>
  <dcterms:modified xsi:type="dcterms:W3CDTF">2025-03-05T09:17:00Z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BC08F4031AB51C5C995AAD675964FCAE_43</vt:lpwstr>
  </property>
</Properties>
</file>