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重庆市铜梁区永嘉镇乡村生态治理中心</w:t>
      </w:r>
    </w:p>
    <w:p>
      <w:pPr>
        <w:pStyle w:val="2"/>
        <w:bidi w:val="0"/>
        <w:rPr>
          <w:rFonts w:hint="default"/>
        </w:rPr>
      </w:pPr>
      <w:r>
        <w:rPr>
          <w:rFonts w:hint="default"/>
        </w:rPr>
        <w:t>2024</w:t>
      </w:r>
      <w:r>
        <w:t>年度决算公开说明</w:t>
      </w:r>
    </w:p>
    <w:p>
      <w:pPr>
        <w:pStyle w:val="3"/>
        <w:bidi w:val="0"/>
        <w:rPr>
          <w:rFonts w:hint="default"/>
        </w:rPr>
      </w:pPr>
      <w:r>
        <w:t>一、</w:t>
      </w:r>
      <w:r>
        <w:rPr>
          <w:rFonts w:hint="eastAsia"/>
          <w:lang w:eastAsia="zh-CN"/>
        </w:rPr>
        <w:t>单位</w:t>
      </w:r>
      <w:r>
        <w:t>基本情况</w:t>
      </w:r>
    </w:p>
    <w:p>
      <w:pPr>
        <w:pStyle w:val="4"/>
        <w:bidi w:val="0"/>
        <w:rPr>
          <w:rFonts w:hint="default"/>
        </w:rPr>
      </w:pPr>
      <w:r>
        <w:t>（一）职能职责</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主要职能职责：保障和改善村镇居住环境，促进乡村生态文明发展，加强农村、场镇建设管理和环境卫生管理，提供技术</w:t>
      </w:r>
      <w:r>
        <w:rPr>
          <w:rFonts w:hint="eastAsia" w:cs="方正仿宋_GBK"/>
          <w:b w:val="0"/>
          <w:kern w:val="2"/>
          <w:sz w:val="32"/>
          <w:szCs w:val="32"/>
          <w:lang w:val="en-US" w:eastAsia="zh-CN" w:bidi="ar-SA"/>
        </w:rPr>
        <w:t>、</w:t>
      </w:r>
      <w:r>
        <w:rPr>
          <w:rFonts w:hint="eastAsia" w:ascii="方正仿宋_GBK" w:hAnsi="方正仿宋_GBK" w:eastAsia="方正仿宋_GBK" w:cs="方正仿宋_GBK"/>
          <w:b w:val="0"/>
          <w:kern w:val="2"/>
          <w:sz w:val="32"/>
          <w:szCs w:val="32"/>
          <w:lang w:val="en-US" w:eastAsia="zh-CN" w:bidi="ar-SA"/>
        </w:rPr>
        <w:t>管理、咨询服务，完成主管部门交办的其他事项。</w:t>
      </w:r>
    </w:p>
    <w:p>
      <w:pPr>
        <w:pStyle w:val="4"/>
        <w:bidi w:val="0"/>
        <w:rPr>
          <w:rFonts w:hint="default"/>
        </w:rPr>
      </w:pPr>
      <w:r>
        <w:t>（二）机构设置</w:t>
      </w:r>
    </w:p>
    <w:p>
      <w:pPr>
        <w:pStyle w:val="8"/>
        <w:shd w:val="clear" w:color="auto" w:fill="FFFFFF"/>
        <w:rPr>
          <w:rFonts w:hint="default" w:ascii="方正仿宋_GBK" w:hAnsi="方正仿宋_GBK" w:eastAsia="方正仿宋_GBK" w:cs="方正仿宋_GBK"/>
          <w:color w:val="FF0000"/>
          <w:sz w:val="32"/>
          <w:szCs w:val="32"/>
          <w:shd w:val="clear" w:color="auto" w:fill="FFFFFF"/>
        </w:rPr>
      </w:pPr>
      <w:r>
        <w:rPr>
          <w:rFonts w:hint="eastAsia"/>
          <w:lang w:val="en-US" w:eastAsia="zh-CN"/>
        </w:rPr>
        <w:t>重庆市铜梁区永嘉镇</w:t>
      </w:r>
      <w:r>
        <w:t>乡村</w:t>
      </w:r>
      <w:r>
        <w:rPr>
          <w:rFonts w:hint="eastAsia"/>
          <w:lang w:eastAsia="zh-CN"/>
        </w:rPr>
        <w:t>生态治理</w:t>
      </w:r>
      <w:r>
        <w:t>中心</w:t>
      </w:r>
      <w:r>
        <w:rPr>
          <w:rFonts w:hint="eastAsia"/>
          <w:lang w:val="en-US" w:eastAsia="zh-CN"/>
        </w:rPr>
        <w:t>是重庆市铜梁区永嘉镇人民政府下属事业单位，故我单位不存在内部机构设置。</w:t>
      </w:r>
    </w:p>
    <w:p>
      <w:pPr>
        <w:pStyle w:val="3"/>
        <w:bidi w:val="0"/>
        <w:rPr>
          <w:rFonts w:hint="default"/>
        </w:rPr>
      </w:pPr>
      <w:r>
        <w:t>二、</w:t>
      </w:r>
      <w:r>
        <w:rPr>
          <w:rFonts w:hint="eastAsia"/>
          <w:lang w:eastAsia="zh-CN"/>
        </w:rPr>
        <w:t>单位</w:t>
      </w:r>
      <w:r>
        <w:t>决算</w:t>
      </w:r>
      <w:r>
        <w:rPr>
          <w:rFonts w:hint="eastAsia"/>
          <w:lang w:eastAsia="zh-CN"/>
        </w:rPr>
        <w:t>收支</w:t>
      </w:r>
      <w:r>
        <w:t>情况说明</w:t>
      </w:r>
    </w:p>
    <w:p>
      <w:pPr>
        <w:pStyle w:val="4"/>
        <w:bidi w:val="0"/>
      </w:pPr>
      <w:r>
        <w:rPr>
          <w:rFonts w:hint="eastAsia"/>
        </w:rPr>
        <w:t>（一）收入支出决算总体情况说明。</w:t>
      </w:r>
    </w:p>
    <w:p>
      <w:pPr>
        <w:bidi w:val="0"/>
        <w:rPr>
          <w:rFonts w:hint="eastAsia"/>
          <w:lang w:eastAsia="zh-CN"/>
        </w:rPr>
      </w:pPr>
      <w:r>
        <w:rPr>
          <w:b/>
          <w:bCs/>
        </w:rPr>
        <w:t>1.总体情况。</w:t>
      </w:r>
      <w:r>
        <w:rPr>
          <w:rFonts w:hint="eastAsia"/>
          <w:lang w:eastAsia="zh-CN"/>
        </w:rPr>
        <w:t>2024年</w:t>
      </w:r>
      <w:r>
        <w:t>度收入总计65.57万元，支出总计65.57万元。收、支与2023年度相比，增加65.57万元，增长100.0%，主要原因是</w:t>
      </w:r>
      <w:r>
        <w:rPr>
          <w:rFonts w:hint="eastAsia"/>
          <w:lang w:eastAsia="zh-CN"/>
        </w:rPr>
        <w:t>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2024年度我单位按照财政局相关要求单独编制决算，因此，本年决算数据为首次全面反映我单位收支情况，与上年不可比，表现为收、支各增加65.57万元。</w:t>
      </w:r>
    </w:p>
    <w:p>
      <w:pPr>
        <w:bidi w:val="0"/>
        <w:rPr>
          <w:rFonts w:hint="default"/>
        </w:rPr>
      </w:pPr>
      <w:r>
        <w:rPr>
          <w:b/>
          <w:bCs/>
        </w:rPr>
        <w:t>2.收入情况。</w:t>
      </w:r>
      <w:r>
        <w:rPr>
          <w:rFonts w:hint="eastAsia"/>
          <w:lang w:eastAsia="zh-CN"/>
        </w:rPr>
        <w:t>2024年</w:t>
      </w:r>
      <w:r>
        <w:t>度收入合计65.57万元，与2023年度相比，增加65.57万元，增长100.0%，主要原因是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2024年度我单位按照财政局相关要求单独编制决算，因此，本年决算数据为首次全面反映我单位收支情况，与上年不可比，表现为收入增加65.57万元</w:t>
      </w:r>
      <w:r>
        <w:t>。其中：财政拨款收入65.57万元，占100.0%；事业收入</w:t>
      </w:r>
      <w:r>
        <w:rPr>
          <w:rFonts w:hint="eastAsia"/>
          <w:lang w:val="en-US" w:eastAsia="zh-CN"/>
        </w:rPr>
        <w:t>0</w:t>
      </w:r>
      <w:r>
        <w:t>万元，占0</w:t>
      </w:r>
      <w:r>
        <w:rPr>
          <w:rFonts w:hint="eastAsia"/>
          <w:lang w:val="en-US" w:eastAsia="zh-CN"/>
        </w:rPr>
        <w:t>.0</w:t>
      </w:r>
      <w:r>
        <w:t>%；经营收入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rPr>
          <w:rFonts w:hint="eastAsia"/>
          <w:lang w:eastAsia="zh-CN"/>
        </w:rPr>
        <w:t>2024年</w:t>
      </w:r>
      <w:r>
        <w:t>度支出合计65.57万元，与2023年度相比，增加65.57万元，增长100.0%，主要原因是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2024年度我单位按照财政局相关要求单独编制决算，因此，本年决算数据为首次全面反映我单位收支情况，与上年不可比，表现为支出增加65.57万元</w:t>
      </w:r>
      <w:r>
        <w:t>。其中：基本支出61.4万元，占93.64%；项目支出4.17万元，占6.36%；经营支出</w:t>
      </w:r>
      <w:r>
        <w:rPr>
          <w:rFonts w:hint="eastAsia"/>
          <w:lang w:val="en-US" w:eastAsia="zh-CN"/>
        </w:rPr>
        <w:t>0</w:t>
      </w:r>
      <w:r>
        <w:t>万元，占0.0%。此外，结余分配</w:t>
      </w:r>
      <w:r>
        <w:rPr>
          <w:rFonts w:hint="eastAsia"/>
          <w:lang w:val="en-US" w:eastAsia="zh-CN"/>
        </w:rPr>
        <w:t>0</w:t>
      </w:r>
      <w:r>
        <w:t>万元。</w:t>
      </w:r>
    </w:p>
    <w:p>
      <w:pPr>
        <w:bidi w:val="0"/>
        <w:rPr>
          <w:rFonts w:hint="eastAsia" w:ascii="方正仿宋_GBK" w:hAnsi="方正仿宋_GBK" w:eastAsia="方正仿宋_GBK" w:cs="方正仿宋_GBK"/>
          <w:szCs w:val="32"/>
          <w:lang w:eastAsia="zh-CN"/>
        </w:rPr>
      </w:pPr>
      <w:r>
        <w:rPr>
          <w:b/>
          <w:bCs/>
        </w:rPr>
        <w:t>4.结转结余情况。</w:t>
      </w:r>
      <w:r>
        <w:rPr>
          <w:rFonts w:hint="eastAsia"/>
          <w:lang w:val="en-US" w:eastAsia="zh-CN"/>
        </w:rPr>
        <w:t>2024年度年末结转和结余0万元，较上年决算数增加0万元</w:t>
      </w:r>
      <w:r>
        <w:rPr>
          <w:rFonts w:hint="eastAsia"/>
          <w:lang w:eastAsia="zh-CN"/>
        </w:rPr>
        <w:t>。</w:t>
      </w:r>
    </w:p>
    <w:p>
      <w:pPr>
        <w:pStyle w:val="4"/>
        <w:bidi w:val="0"/>
      </w:pPr>
      <w:r>
        <w:rPr>
          <w:rFonts w:hint="eastAsia"/>
        </w:rPr>
        <w:t>（二）财政拨款收入支出决算总体情况说明</w:t>
      </w:r>
    </w:p>
    <w:p>
      <w:pPr>
        <w:bidi w:val="0"/>
        <w:rPr>
          <w:rFonts w:hint="default" w:ascii="方正仿宋_GBK" w:hAnsi="方正仿宋_GBK" w:eastAsia="方正仿宋_GBK" w:cs="方正仿宋_GBK"/>
          <w:szCs w:val="32"/>
        </w:rPr>
      </w:pPr>
      <w:r>
        <w:rPr>
          <w:rFonts w:hint="eastAsia"/>
          <w:lang w:eastAsia="zh-CN"/>
        </w:rPr>
        <w:t>2024年</w:t>
      </w:r>
      <w:r>
        <w:t>度财政拨款收、支总计65.57万元。与202</w:t>
      </w:r>
      <w:r>
        <w:rPr>
          <w:rFonts w:hint="eastAsia"/>
          <w:lang w:val="en-US" w:eastAsia="zh-CN"/>
        </w:rPr>
        <w:t>3</w:t>
      </w:r>
      <w:r>
        <w:t>年相比，财政拨款收、支总计各增加65.57万元，增长100.0%。主要原因是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2024年度我单位按照财政局相关要求单独编制决算，因此，本年决算数据为首次全面反映我单位收支情况，与上年不可比，表现为收、支各增加65.57万元</w:t>
      </w:r>
      <w:r>
        <w:t>。</w:t>
      </w:r>
    </w:p>
    <w:p>
      <w:pPr>
        <w:pStyle w:val="4"/>
        <w:bidi w:val="0"/>
      </w:pPr>
      <w:r>
        <w:rPr>
          <w:rFonts w:hint="eastAsia"/>
        </w:rPr>
        <w:t>（三）一般公共预算财政拨款收入支出决算情况说明</w:t>
      </w:r>
    </w:p>
    <w:p>
      <w:pPr>
        <w:bidi w:val="0"/>
        <w:rPr>
          <w:rFonts w:hint="default"/>
        </w:rPr>
      </w:pPr>
      <w:r>
        <w:rPr>
          <w:b/>
          <w:bCs/>
        </w:rPr>
        <w:t>1.收入情况。</w:t>
      </w:r>
      <w:r>
        <w:rPr>
          <w:rFonts w:hint="eastAsia"/>
          <w:lang w:eastAsia="zh-CN"/>
        </w:rPr>
        <w:t>2024年</w:t>
      </w:r>
      <w:r>
        <w:t>度一般公共预算财政拨款收入65.57万元，与2023年度相比，增加65.57万元，增长100.0%。主要原因是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2024年度我单位按照财政局相关要求单独编制决算，因此，本年决算数据为首次全面反映我单位收支情况，与上年不可比，表现为收入增加65.57万元</w:t>
      </w:r>
      <w:r>
        <w:t>。较年初预算数减少9.26万元，下降12.4%。主要原因是</w:t>
      </w:r>
      <w:r>
        <w:rPr>
          <w:rFonts w:hint="eastAsia"/>
          <w:lang w:val="en-US" w:eastAsia="zh-CN"/>
        </w:rPr>
        <w:t>2024年度区财政局为优先保障“三保”等重点支出，对我单位部分非紧急、非刚性的项目支出进行了暂缓拨付，我单位涉及公用经费、其他项目支出等资金共计9.26万元未全额拨付</w:t>
      </w:r>
      <w:r>
        <w:t>。此外，年初财政拨款结转和结余</w:t>
      </w:r>
      <w:r>
        <w:rPr>
          <w:rFonts w:hint="eastAsia"/>
          <w:lang w:val="en-US" w:eastAsia="zh-CN"/>
        </w:rPr>
        <w:t>0</w:t>
      </w:r>
      <w:r>
        <w:t>万元。</w:t>
      </w:r>
    </w:p>
    <w:p>
      <w:pPr>
        <w:bidi w:val="0"/>
        <w:rPr>
          <w:rFonts w:hint="default"/>
        </w:rPr>
      </w:pPr>
      <w:r>
        <w:rPr>
          <w:b/>
          <w:bCs/>
        </w:rPr>
        <w:t>2.支出情况。</w:t>
      </w:r>
      <w:r>
        <w:rPr>
          <w:rFonts w:hint="eastAsia"/>
          <w:lang w:eastAsia="zh-CN"/>
        </w:rPr>
        <w:t>2024年</w:t>
      </w:r>
      <w:r>
        <w:t>度一般公共预算财政拨款支出65.57万元，与2023年度相比，增加65.57万元，增长100.0%。主要原因是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2024年度我单位按照财政局相关要求单独编制决算，因此，本年决算数据为首次全面反映我单位收支情况，与上年不可比，表现为支出增加65.57万元</w:t>
      </w:r>
      <w:r>
        <w:t>。较年初预算数减少9.26万元，下降12.4%。主要原因是</w:t>
      </w:r>
      <w:r>
        <w:rPr>
          <w:rFonts w:hint="eastAsia"/>
          <w:lang w:val="en-US" w:eastAsia="zh-CN"/>
        </w:rPr>
        <w:t>2024年度区财政局为优先保障“三保”等重点支出，对我单位部分非紧急、非刚性的项目支出进行了暂缓拨付，我单位涉及公用经费、其他项目支出等资金共计9.26万元未全额拨付</w:t>
      </w:r>
      <w:r>
        <w:t>。</w:t>
      </w:r>
    </w:p>
    <w:p>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pPr>
        <w:bidi w:val="0"/>
        <w:rPr>
          <w:rFonts w:hint="default" w:ascii="方正仿宋_GBK" w:hAnsi="方正仿宋_GBK" w:eastAsia="方正仿宋_GBK" w:cs="方正仿宋_GBK"/>
          <w:color w:val="FF0000"/>
          <w:szCs w:val="32"/>
          <w:highlight w:val="cyan"/>
          <w:shd w:val="clear" w:color="auto" w:fill="FFFFFF"/>
        </w:rPr>
      </w:pPr>
      <w:r>
        <w:rPr>
          <w:b/>
          <w:bCs/>
        </w:rPr>
        <w:t xml:space="preserve"> 4.比较情况。</w:t>
      </w:r>
      <w:r>
        <w:t>本单位</w:t>
      </w:r>
      <w:r>
        <w:rPr>
          <w:rFonts w:hint="eastAsia"/>
          <w:lang w:eastAsia="zh-CN"/>
        </w:rPr>
        <w:t>2024年</w:t>
      </w:r>
      <w:r>
        <w:t>度一般公共预算财政拨款支出主要用于以下几个方面：</w:t>
      </w:r>
    </w:p>
    <w:p>
      <w:pPr>
        <w:bidi w:val="0"/>
        <w:rPr>
          <w:rFonts w:hint="default"/>
        </w:rPr>
      </w:pPr>
      <w:r>
        <w:t>（</w:t>
      </w:r>
      <w:r>
        <w:rPr>
          <w:rFonts w:hint="eastAsia"/>
          <w:lang w:val="en-US" w:eastAsia="zh-CN"/>
        </w:rPr>
        <w:t>1</w:t>
      </w:r>
      <w:r>
        <w:t>）社会保障与就业支出4.85万元，占7.4%，较年初预算数无增减，主要原因是</w:t>
      </w:r>
      <w:r>
        <w:rPr>
          <w:rFonts w:hint="eastAsia"/>
          <w:lang w:eastAsia="zh-CN"/>
        </w:rPr>
        <w:t>严格按照预算执行</w:t>
      </w:r>
      <w:r>
        <w:t>。</w:t>
      </w:r>
    </w:p>
    <w:p>
      <w:pPr>
        <w:bidi w:val="0"/>
        <w:rPr>
          <w:rFonts w:hint="default"/>
        </w:rPr>
      </w:pPr>
      <w:r>
        <w:t>（</w:t>
      </w:r>
      <w:r>
        <w:rPr>
          <w:rFonts w:hint="eastAsia"/>
          <w:lang w:val="en-US" w:eastAsia="zh-CN"/>
        </w:rPr>
        <w:t>2</w:t>
      </w:r>
      <w:r>
        <w:t>）卫生健康支出2.12万元，占3.23%，较年初预算数减少0.51万元，下降19.4%，主要原因是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0.51万元未能全额拨付，最终形成2024年度决算支出低于年初预算</w:t>
      </w:r>
      <w:r>
        <w:t>。</w:t>
      </w:r>
    </w:p>
    <w:p>
      <w:pPr>
        <w:bidi w:val="0"/>
        <w:rPr>
          <w:rFonts w:hint="default"/>
        </w:rPr>
      </w:pPr>
      <w:r>
        <w:t>（</w:t>
      </w:r>
      <w:r>
        <w:rPr>
          <w:rFonts w:hint="eastAsia"/>
          <w:lang w:val="en-US" w:eastAsia="zh-CN"/>
        </w:rPr>
        <w:t>3</w:t>
      </w:r>
      <w:r>
        <w:t>）节能环保支出56.18万元，占85.68%，较年初预算数减少8.74万元，下降13.5%，主要原因是</w:t>
      </w:r>
      <w:r>
        <w:rPr>
          <w:rFonts w:hint="eastAsia"/>
          <w:lang w:val="en-US" w:eastAsia="zh-CN"/>
        </w:rPr>
        <w:t>2024年度区财政局为优先保障“三保”等重点支出，对我单位部分非紧急、非刚性的项目支出进行了暂缓拨付，我单位涉及事业单位绩效超高总量、职工教育费、未休假补贴、公用经费定额、其他经费支出等预算资金共计8.74万元未能全额拨付，最终形成2024年度决算支出低于年初预算</w:t>
      </w:r>
      <w:r>
        <w:t>。</w:t>
      </w:r>
    </w:p>
    <w:p>
      <w:pPr>
        <w:bidi w:val="0"/>
        <w:rPr>
          <w:rFonts w:hint="default" w:ascii="方正仿宋_GBK" w:hAnsi="方正仿宋_GBK" w:eastAsia="方正仿宋_GBK" w:cs="方正仿宋_GBK"/>
          <w:color w:val="FF0000"/>
          <w:szCs w:val="32"/>
          <w:shd w:val="clear" w:color="auto" w:fill="FFFFFF"/>
        </w:rPr>
      </w:pPr>
      <w:r>
        <w:t>（</w:t>
      </w:r>
      <w:r>
        <w:rPr>
          <w:rFonts w:hint="eastAsia"/>
          <w:lang w:val="en-US" w:eastAsia="zh-CN"/>
        </w:rPr>
        <w:t>4</w:t>
      </w:r>
      <w:r>
        <w:t>）住房保障支出2.42万元，占3.7%，较年初预算数无增减，主要原因是</w:t>
      </w:r>
      <w:r>
        <w:rPr>
          <w:rFonts w:hint="eastAsia"/>
          <w:lang w:eastAsia="zh-CN"/>
        </w:rPr>
        <w:t>严格按照预算执行</w:t>
      </w:r>
      <w: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bidi w:val="0"/>
        <w:rPr>
          <w:rFonts w:hint="default"/>
        </w:rPr>
      </w:pPr>
      <w:r>
        <w:rPr>
          <w:rFonts w:hint="eastAsia"/>
          <w:lang w:eastAsia="zh-CN"/>
        </w:rPr>
        <w:t>2024年</w:t>
      </w:r>
      <w:r>
        <w:t>度一般公共财政拨款基本支出61.4万元。其中：人员经费51.2万元，与2023年度相比，增加51.2万元，增长100.0%，主要原因是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2024年度我单位按照财政局相关要求单独编制决算，因此，本年决算数据为首次全面反映我单位收支情况，与上年不可比，表现为人员经费支出增加51.2万元</w:t>
      </w:r>
      <w:r>
        <w:t>。人员经费用途主要包括</w:t>
      </w:r>
      <w:r>
        <w:rPr>
          <w:rFonts w:hint="eastAsia"/>
          <w:lang w:val="en-US" w:eastAsia="zh-CN"/>
        </w:rPr>
        <w:t>基本工资、津贴补贴、奖金、社会保障缴费、住房公积金等。</w:t>
      </w:r>
      <w:r>
        <w:t>公用经费10.2万元，与2023年度相比，增加10.2万元，增长100.0%，主要原因是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2024年度我单位按照财政局相关要求单独编制决算，因此，本年决算数据为首次全面反映我单位收支情况，与上年不可比，表现为公用经费支出增加10.2万元</w:t>
      </w:r>
      <w:r>
        <w:rPr>
          <w:rFonts w:hint="eastAsia"/>
          <w:lang w:eastAsia="zh-CN"/>
        </w:rPr>
        <w:t>。公用经费用途主要包括</w:t>
      </w:r>
      <w:r>
        <w:rPr>
          <w:rFonts w:hint="eastAsia"/>
          <w:lang w:val="en-US" w:eastAsia="zh-CN"/>
        </w:rPr>
        <w:t>办公费、水费、电费、邮电费、差旅费、维修（护）费等。</w:t>
      </w:r>
    </w:p>
    <w:p>
      <w:pPr>
        <w:pStyle w:val="4"/>
        <w:bidi w:val="0"/>
      </w:pPr>
      <w:r>
        <w:rPr>
          <w:rFonts w:hint="eastAsia"/>
        </w:rPr>
        <w:t>（五）政府性基金预算收支决算情况说明</w:t>
      </w:r>
    </w:p>
    <w:p>
      <w:pPr>
        <w:bidi w:val="0"/>
        <w:rPr>
          <w:rFonts w:hint="default"/>
        </w:rPr>
      </w:pPr>
      <w:r>
        <w:t>本单位</w:t>
      </w:r>
      <w:r>
        <w:rPr>
          <w:rFonts w:hint="eastAsia"/>
          <w:lang w:eastAsia="zh-CN"/>
        </w:rPr>
        <w:t>2024年</w:t>
      </w:r>
      <w:r>
        <w:t>度无政府性基金预算财政拨款收支。</w:t>
      </w:r>
    </w:p>
    <w:p>
      <w:pPr>
        <w:pStyle w:val="4"/>
        <w:bidi w:val="0"/>
      </w:pPr>
      <w:r>
        <w:rPr>
          <w:rFonts w:hint="eastAsia"/>
        </w:rPr>
        <w:t>（六）国有资本经营预算财政拨款支出决算情况说明</w:t>
      </w:r>
    </w:p>
    <w:p>
      <w:pPr>
        <w:bidi w:val="0"/>
        <w:rPr>
          <w:rFonts w:hint="default"/>
        </w:rPr>
      </w:pPr>
      <w:r>
        <w:t>本单位</w:t>
      </w:r>
      <w:r>
        <w:rPr>
          <w:rFonts w:hint="eastAsia"/>
          <w:lang w:eastAsia="zh-CN"/>
        </w:rPr>
        <w:t>2024年</w:t>
      </w:r>
      <w:r>
        <w:t>度无国有资本经营预算财政拨款支出。</w:t>
      </w:r>
    </w:p>
    <w:p>
      <w:pPr>
        <w:pStyle w:val="3"/>
        <w:bidi w:val="0"/>
        <w:rPr>
          <w:rFonts w:hint="default"/>
        </w:rPr>
      </w:pPr>
      <w:r>
        <w:t>三、</w:t>
      </w:r>
      <w:r>
        <w:rPr>
          <w:rFonts w:hint="eastAsia"/>
          <w:lang w:eastAsia="zh-CN"/>
        </w:rPr>
        <w:t>财政拨款</w:t>
      </w:r>
      <w:r>
        <w:t>“三公”经费情况说明</w:t>
      </w:r>
    </w:p>
    <w:p>
      <w:pPr>
        <w:pStyle w:val="4"/>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4"/>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4"/>
        <w:bidi w:val="0"/>
      </w:pPr>
      <w:r>
        <w:rPr>
          <w:rFonts w:hint="eastAsia"/>
        </w:rPr>
        <w:t>（三）“三公”经费实物量情况</w:t>
      </w:r>
    </w:p>
    <w:p>
      <w:pPr>
        <w:bidi w:val="0"/>
        <w:rPr>
          <w:rFonts w:hint="default" w:ascii="方正仿宋_GBK" w:hAnsi="方正仿宋_GBK" w:eastAsia="方正仿宋_GBK" w:cs="方正仿宋_GBK"/>
          <w:sz w:val="32"/>
          <w:szCs w:val="32"/>
        </w:rPr>
      </w:pPr>
      <w:r>
        <w:rPr>
          <w:rFonts w:hint="eastAsia"/>
          <w:lang w:eastAsia="zh-CN"/>
        </w:rPr>
        <w:t>2024年</w:t>
      </w:r>
      <w:r>
        <w:t>度本单位因公出国（境）共计0个团组，0人；公务用车购置0辆，公务车保有量为0辆；国内公务接待0批次0人，其中：国内外事接待0批次，0人；国（境）外公务接待0批次，0人。</w:t>
      </w:r>
      <w:r>
        <w:rPr>
          <w:rFonts w:hint="eastAsia"/>
          <w:lang w:eastAsia="zh-CN"/>
        </w:rPr>
        <w:t>2024年</w:t>
      </w:r>
      <w:r>
        <w:t>本单位人均接待费0元，车均购置费0万元，车均维护费0万元</w:t>
      </w:r>
      <w:r>
        <w:rPr>
          <w:rFonts w:ascii="方正仿宋_GBK" w:hAnsi="方正仿宋_GBK" w:eastAsia="方正仿宋_GBK" w:cs="方正仿宋_GBK"/>
          <w:sz w:val="32"/>
          <w:szCs w:val="32"/>
          <w:shd w:val="clear" w:color="auto" w:fill="FFFFFF"/>
        </w:rPr>
        <w:t>。</w:t>
      </w:r>
    </w:p>
    <w:p>
      <w:pPr>
        <w:pStyle w:val="3"/>
        <w:bidi w:val="0"/>
        <w:rPr>
          <w:rFonts w:hint="default"/>
        </w:rPr>
      </w:pPr>
      <w:r>
        <w:t>四、其他需要说明的事项</w:t>
      </w:r>
    </w:p>
    <w:p>
      <w:pPr>
        <w:pStyle w:val="4"/>
        <w:bidi w:val="0"/>
      </w:pPr>
      <w:r>
        <w:rPr>
          <w:rFonts w:hint="eastAsia"/>
        </w:rPr>
        <w:t>（一）财政拨款会议费和培训费情况说明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万元，与2023年度相比，增加0.1万元，增长100.0%，主要原因是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2024年度我单位按照财政局相关要求单独编制决算，故本年决算数据全面反映我单位的开支明细，最终形成2024年度培训费支出较2023年增加0.1万元</w:t>
      </w:r>
      <w:r>
        <w:rPr>
          <w:rFonts w:ascii="方正仿宋_GBK" w:hAnsi="方正仿宋_GBK" w:eastAsia="方正仿宋_GBK" w:cs="方正仿宋_GBK"/>
          <w:sz w:val="32"/>
          <w:szCs w:val="32"/>
          <w:shd w:val="clear" w:color="auto" w:fill="FFFFFF"/>
        </w:rPr>
        <w:t>。</w:t>
      </w:r>
    </w:p>
    <w:p>
      <w:pPr>
        <w:pStyle w:val="4"/>
        <w:bidi w:val="0"/>
      </w:pPr>
      <w:r>
        <w:rPr>
          <w:rFonts w:hint="eastAsia"/>
        </w:rPr>
        <w:t>（二）机关运行经费情况说明</w:t>
      </w:r>
    </w:p>
    <w:p>
      <w:pPr>
        <w:bidi w:val="0"/>
        <w:rPr>
          <w:rFonts w:hint="default"/>
        </w:rPr>
      </w:pPr>
      <w:r>
        <w:rPr>
          <w:rFonts w:hint="default"/>
        </w:rPr>
        <w:t>按照部门决算列报口径，我单位不在机关运行经费统计范围之内。</w:t>
      </w:r>
    </w:p>
    <w:p>
      <w:pPr>
        <w:pStyle w:val="4"/>
        <w:bidi w:val="0"/>
      </w:pPr>
      <w:r>
        <w:rPr>
          <w:rFonts w:hint="eastAsia"/>
        </w:rPr>
        <w:t>（三）国有资产占用情况说明</w:t>
      </w:r>
    </w:p>
    <w:p>
      <w:pPr>
        <w:bidi w:val="0"/>
        <w:rPr>
          <w:rFonts w:hint="default"/>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4"/>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3"/>
        <w:bidi w:val="0"/>
        <w:rPr>
          <w:rFonts w:hint="eastAsia"/>
          <w:lang w:val="en-US" w:eastAsia="zh-CN"/>
        </w:rPr>
      </w:pPr>
      <w:r>
        <w:rPr>
          <w:rFonts w:hint="eastAsia"/>
          <w:lang w:val="en-US" w:eastAsia="zh-CN"/>
        </w:rPr>
        <w:t>五、2024年度预算绩效管理情况说明</w:t>
      </w:r>
    </w:p>
    <w:p>
      <w:pPr>
        <w:pStyle w:val="4"/>
        <w:bidi w:val="0"/>
        <w:rPr>
          <w:rFonts w:hint="eastAsia"/>
        </w:rPr>
      </w:pPr>
      <w:r>
        <w:rPr>
          <w:rFonts w:hint="eastAsia"/>
        </w:rPr>
        <w:t>（一）预算绩效管理工作开展情况</w:t>
      </w:r>
    </w:p>
    <w:p>
      <w:pPr>
        <w:bidi w:val="0"/>
        <w:rPr>
          <w:rFonts w:hint="eastAsia"/>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4.17</w:t>
      </w:r>
      <w:r>
        <w:rPr>
          <w:rFonts w:hint="eastAsia"/>
        </w:rPr>
        <w:t>万元。从自评结果来看，项目立项较为规范、绩效目标明确、预算编制合理，项目实施的总体情况较好，基本完成年初设立的绩效目标。</w:t>
      </w:r>
    </w:p>
    <w:p>
      <w:pPr>
        <w:pStyle w:val="4"/>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w:t>
      </w:r>
      <w:r>
        <w:t>乡村</w:t>
      </w:r>
      <w:r>
        <w:rPr>
          <w:rFonts w:hint="eastAsia"/>
          <w:lang w:eastAsia="zh-CN"/>
        </w:rPr>
        <w:t>生态治理</w:t>
      </w:r>
      <w:r>
        <w:t>中</w:t>
      </w:r>
      <w:r>
        <w:rPr>
          <w:rFonts w:hint="eastAsia"/>
          <w:lang w:eastAsia="zh-CN"/>
        </w:rPr>
        <w:t>心</w:t>
      </w:r>
      <w:r>
        <w:rPr>
          <w:rFonts w:hint="eastAsia"/>
          <w:lang w:val="en-US" w:eastAsia="zh-CN"/>
        </w:rPr>
        <w:t>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1个</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4"/>
        <w:bidi w:val="0"/>
        <w:rPr>
          <w:rFonts w:hint="default"/>
          <w:lang w:val="en-US" w:eastAsia="zh-CN"/>
        </w:rPr>
      </w:pPr>
      <w:r>
        <w:rPr>
          <w:rFonts w:hint="eastAsia"/>
          <w:lang w:val="en-US" w:eastAsia="zh-CN"/>
        </w:rPr>
        <w:t xml:space="preserve">（三）财政重点绩效评价情况 </w:t>
      </w:r>
      <w:bookmarkStart w:id="0" w:name="_GoBack"/>
      <w:bookmarkEnd w:id="0"/>
    </w:p>
    <w:p>
      <w:pPr>
        <w:bidi w:val="0"/>
        <w:rPr>
          <w:rFonts w:hint="eastAsia"/>
          <w:lang w:val="en-US" w:eastAsia="zh-CN"/>
        </w:rPr>
      </w:pPr>
      <w:r>
        <w:rPr>
          <w:rFonts w:hint="eastAsia"/>
          <w:lang w:val="en-US" w:eastAsia="zh-CN"/>
        </w:rPr>
        <w:t>我单位无财政重点绩效评价项目。</w:t>
      </w:r>
    </w:p>
    <w:p>
      <w:pPr>
        <w:pStyle w:val="3"/>
        <w:bidi w:val="0"/>
        <w:rPr>
          <w:rFonts w:hint="eastAsia"/>
        </w:rPr>
      </w:pPr>
      <w:r>
        <w:rPr>
          <w:rFonts w:hint="eastAsia"/>
          <w:lang w:val="en-US" w:eastAsia="zh-CN"/>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3"/>
        <w:bidi w:val="0"/>
        <w:rPr>
          <w:rFonts w:hint="eastAsia"/>
        </w:rPr>
      </w:pPr>
      <w:r>
        <w:rPr>
          <w:rFonts w:hint="eastAsia"/>
          <w:lang w:val="en-US" w:eastAsia="zh-CN"/>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hint="eastAsia" w:ascii="方正仿宋_GBK" w:hAnsi="方正仿宋_GBK" w:eastAsia="方正仿宋_GBK" w:cs="方正仿宋_GBK"/>
          <w:b/>
          <w:bCs/>
          <w:sz w:val="32"/>
          <w:szCs w:val="32"/>
          <w:shd w:val="clear" w:fill="FFFF00"/>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015267"/>
    <w:rsid w:val="1CE157EE"/>
    <w:rsid w:val="1D014A01"/>
    <w:rsid w:val="1D022362"/>
    <w:rsid w:val="1DD26311"/>
    <w:rsid w:val="1EF67CA4"/>
    <w:rsid w:val="1FCD26AF"/>
    <w:rsid w:val="20642787"/>
    <w:rsid w:val="213531B6"/>
    <w:rsid w:val="21556F04"/>
    <w:rsid w:val="22403BD3"/>
    <w:rsid w:val="24932670"/>
    <w:rsid w:val="24B92327"/>
    <w:rsid w:val="2533755C"/>
    <w:rsid w:val="260B73DF"/>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B93CE3"/>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8A5515"/>
    <w:rsid w:val="3FDE15A7"/>
    <w:rsid w:val="4004000C"/>
    <w:rsid w:val="40FD5440"/>
    <w:rsid w:val="411B6CE5"/>
    <w:rsid w:val="412070D7"/>
    <w:rsid w:val="41314E40"/>
    <w:rsid w:val="4142353C"/>
    <w:rsid w:val="415C674B"/>
    <w:rsid w:val="426C1EA8"/>
    <w:rsid w:val="42B51EAD"/>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8A2D19"/>
    <w:rsid w:val="50EC262C"/>
    <w:rsid w:val="522F6E0C"/>
    <w:rsid w:val="52463BA1"/>
    <w:rsid w:val="53C0244D"/>
    <w:rsid w:val="53DD4D4E"/>
    <w:rsid w:val="53E578CE"/>
    <w:rsid w:val="543B029D"/>
    <w:rsid w:val="545D0246"/>
    <w:rsid w:val="554E5773"/>
    <w:rsid w:val="555A3CBC"/>
    <w:rsid w:val="5563280F"/>
    <w:rsid w:val="56530F5D"/>
    <w:rsid w:val="5842572D"/>
    <w:rsid w:val="5AE75037"/>
    <w:rsid w:val="5B58571C"/>
    <w:rsid w:val="5B8376C2"/>
    <w:rsid w:val="5B96133A"/>
    <w:rsid w:val="5C1336B7"/>
    <w:rsid w:val="5C263CE4"/>
    <w:rsid w:val="5C5D2777"/>
    <w:rsid w:val="5D290C69"/>
    <w:rsid w:val="5D537F41"/>
    <w:rsid w:val="5EDA0359"/>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E53B20"/>
    <w:rsid w:val="64FB113D"/>
    <w:rsid w:val="654E4D38"/>
    <w:rsid w:val="656152C6"/>
    <w:rsid w:val="6587477F"/>
    <w:rsid w:val="658C3A08"/>
    <w:rsid w:val="65C031CA"/>
    <w:rsid w:val="65CE6852"/>
    <w:rsid w:val="66267C04"/>
    <w:rsid w:val="663F505A"/>
    <w:rsid w:val="665C1999"/>
    <w:rsid w:val="667F2393"/>
    <w:rsid w:val="66D84918"/>
    <w:rsid w:val="66EE5541"/>
    <w:rsid w:val="692172FD"/>
    <w:rsid w:val="6A3829EE"/>
    <w:rsid w:val="6B474EF5"/>
    <w:rsid w:val="6C560CAE"/>
    <w:rsid w:val="6D0615E4"/>
    <w:rsid w:val="6D4B1126"/>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D43C72"/>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link w:val="16"/>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标题 3 Char"/>
    <w:link w:val="4"/>
    <w:uiPriority w:val="0"/>
    <w:rPr>
      <w:rFonts w:ascii="方正楷体_GBK" w:hAnsi="方正楷体_GBK" w:eastAsia="方正楷体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2025-10-15T08:20:23Z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