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t>重庆市铜梁区永嘉镇人民政府（本级）</w:t>
      </w:r>
    </w:p>
    <w:p>
      <w:pPr>
        <w:pStyle w:val="2"/>
        <w:bidi w:val="0"/>
        <w:rPr>
          <w:rFonts w:hint="default"/>
        </w:rPr>
      </w:pPr>
      <w:r>
        <w:rPr>
          <w:rFonts w:hint="default"/>
        </w:rPr>
        <w:t>2024</w:t>
      </w:r>
      <w:r>
        <w:t>年度决算公开说明</w:t>
      </w:r>
    </w:p>
    <w:p>
      <w:pPr>
        <w:pStyle w:val="4"/>
        <w:bidi w:val="0"/>
        <w:rPr>
          <w:rFonts w:hint="default"/>
        </w:rPr>
      </w:pPr>
      <w:r>
        <w:rPr>
          <w:rFonts w:hint="default"/>
        </w:rPr>
        <w:t>一、</w:t>
      </w:r>
      <w:r>
        <w:rPr>
          <w:rFonts w:hint="eastAsia"/>
          <w:lang w:eastAsia="zh-CN"/>
        </w:rPr>
        <w:t>单位</w:t>
      </w:r>
      <w:r>
        <w:rPr>
          <w:rFonts w:hint="default"/>
        </w:rPr>
        <w:t>基本情况</w:t>
      </w:r>
    </w:p>
    <w:p>
      <w:pPr>
        <w:pStyle w:val="5"/>
        <w:bidi w:val="0"/>
        <w:rPr>
          <w:rFonts w:hint="default"/>
        </w:rPr>
      </w:pPr>
      <w:r>
        <w:rPr>
          <w:rFonts w:hint="default"/>
        </w:rPr>
        <w:t>（一）职能职责</w:t>
      </w:r>
    </w:p>
    <w:p>
      <w:pPr>
        <w:bidi w:val="0"/>
        <w:rPr>
          <w:rFonts w:hint="eastAsia" w:ascii="方正仿宋_GBK" w:hAnsi="方正仿宋_GBK" w:eastAsia="方正仿宋_GBK" w:cs="方正仿宋_GBK"/>
          <w:b w:val="0"/>
          <w:kern w:val="2"/>
          <w:szCs w:val="32"/>
          <w:lang w:val="en-US" w:eastAsia="zh-CN" w:bidi="ar-SA"/>
        </w:rPr>
      </w:pPr>
      <w:r>
        <w:rPr>
          <w:rFonts w:hint="eastAsia"/>
          <w:lang w:val="en-US" w:eastAsia="zh-CN"/>
        </w:rPr>
        <w:t>（1）在区委、区政府的领导下，贯彻执行党和国家各项方针、政策、法律、法规；负责辖区内的地区性、群众性、公益性、社会性工作；（2）负责精神文明建设工作，积极组织以提高市民素质为目的的活动，树立文明新风；（3）做好辖区范围内的城市建设和管理、市容环境卫生、园林绿化、环境保护、市政等监督、管理、服务工作；（4）负责辖区内的维护稳定工作及社会治安综合治理工作，依照有关政策规定做好外来人口的管理工作；（5）指导和帮助居（村）民委员会搞好组织建设和制度建设，发挥居（村）民委员会的群众自治作用；（6）配合有关部门做好防汛、防火、防震、抢险和救灾工作。</w:t>
      </w:r>
    </w:p>
    <w:p>
      <w:pPr>
        <w:pStyle w:val="5"/>
        <w:bidi w:val="0"/>
        <w:rPr>
          <w:rFonts w:hint="default"/>
          <w:lang w:val="en-US" w:eastAsia="zh-CN"/>
        </w:rPr>
      </w:pPr>
      <w:r>
        <w:rPr>
          <w:rFonts w:hint="default"/>
          <w:lang w:val="en-US" w:eastAsia="zh-CN"/>
        </w:rPr>
        <w:t>（二）</w:t>
      </w:r>
      <w:r>
        <w:rPr>
          <w:rFonts w:hint="default"/>
        </w:rPr>
        <w:t>机构设置</w:t>
      </w:r>
    </w:p>
    <w:p>
      <w:pPr>
        <w:bidi w:val="0"/>
        <w:rPr>
          <w:rFonts w:hint="eastAsia"/>
          <w:lang w:val="en-US" w:eastAsia="zh-CN"/>
        </w:rPr>
      </w:pPr>
      <w:r>
        <w:rPr>
          <w:rFonts w:hint="eastAsia"/>
          <w:lang w:val="en-US" w:eastAsia="zh-CN"/>
        </w:rPr>
        <w:t>（1）基层治理综合指挥室。统筹负责一体化智治平台运行</w:t>
      </w:r>
      <w:r>
        <w:rPr>
          <w:rFonts w:hint="default"/>
          <w:lang w:val="en-US" w:eastAsia="zh-CN"/>
        </w:rPr>
        <w:t>管理相关工作，承担基层治理指挥中心运行监测、分析研判</w:t>
      </w:r>
      <w:r>
        <w:rPr>
          <w:rFonts w:hint="eastAsia"/>
          <w:lang w:val="en-US" w:eastAsia="zh-CN"/>
        </w:rPr>
        <w:t>、</w:t>
      </w:r>
      <w:r>
        <w:rPr>
          <w:rFonts w:hint="default"/>
          <w:lang w:val="en-US" w:eastAsia="zh-CN"/>
        </w:rPr>
        <w:t>协同流转、应急指挥、督查考核等职责，负责综合协调、文件收发</w:t>
      </w:r>
      <w:r>
        <w:rPr>
          <w:rFonts w:hint="eastAsia"/>
          <w:lang w:val="en-US" w:eastAsia="zh-CN"/>
        </w:rPr>
        <w:t>、</w:t>
      </w:r>
      <w:r>
        <w:rPr>
          <w:rFonts w:hint="default"/>
          <w:lang w:val="en-US" w:eastAsia="zh-CN"/>
        </w:rPr>
        <w:t>政务公开、后勤管理、机要保密等工作</w:t>
      </w:r>
      <w:r>
        <w:rPr>
          <w:rFonts w:hint="eastAsia"/>
          <w:lang w:val="en-US" w:eastAsia="zh-CN"/>
        </w:rPr>
        <w:t>。</w:t>
      </w:r>
    </w:p>
    <w:p>
      <w:pPr>
        <w:bidi w:val="0"/>
        <w:rPr>
          <w:rFonts w:hint="eastAsia"/>
          <w:lang w:val="en-US" w:eastAsia="zh-CN"/>
        </w:rPr>
      </w:pPr>
      <w:r>
        <w:rPr>
          <w:rFonts w:hint="eastAsia"/>
          <w:lang w:val="en-US" w:eastAsia="zh-CN"/>
        </w:rPr>
        <w:t>（2）党的建设办公室。统筹负责党的政治建设、思想建设、</w:t>
      </w:r>
      <w:r>
        <w:rPr>
          <w:rFonts w:hint="default"/>
          <w:lang w:val="en-US" w:eastAsia="zh-CN"/>
        </w:rPr>
        <w:t>组织建设、作风建设、纪律建设、制度建设和反腐败斗争、民主法治、意识形态、精神文明建设、统一战线、民宗侨台、群众团体、人大政协联络等领域工作</w:t>
      </w:r>
      <w:r>
        <w:rPr>
          <w:rFonts w:hint="eastAsia"/>
          <w:lang w:val="en-US" w:eastAsia="zh-CN"/>
        </w:rPr>
        <w:t>。</w:t>
      </w:r>
    </w:p>
    <w:p>
      <w:pPr>
        <w:bidi w:val="0"/>
        <w:rPr>
          <w:rFonts w:hint="default"/>
          <w:lang w:val="en-US" w:eastAsia="zh-CN"/>
        </w:rPr>
      </w:pPr>
      <w:r>
        <w:rPr>
          <w:rFonts w:hint="eastAsia"/>
          <w:lang w:val="en-US" w:eastAsia="zh-CN"/>
        </w:rPr>
        <w:t>（3）经济发展办公室。统筹负责经济发展、辖区规划建设、</w:t>
      </w:r>
      <w:r>
        <w:rPr>
          <w:rFonts w:hint="default"/>
          <w:lang w:val="en-US" w:eastAsia="zh-CN"/>
        </w:rPr>
        <w:t>生态环境、农业农村、乡村振兴、财政管理、经济社会统计等领域工作。</w:t>
      </w:r>
    </w:p>
    <w:p>
      <w:pPr>
        <w:bidi w:val="0"/>
        <w:rPr>
          <w:rFonts w:hint="eastAsia"/>
          <w:lang w:val="en-US" w:eastAsia="zh-CN"/>
        </w:rPr>
      </w:pPr>
      <w:r>
        <w:rPr>
          <w:rFonts w:hint="eastAsia"/>
          <w:lang w:val="en-US" w:eastAsia="zh-CN"/>
        </w:rPr>
        <w:t>（4）民生服务办公室。统筹负责民政、教育、文化、卫生</w:t>
      </w:r>
      <w:r>
        <w:rPr>
          <w:rFonts w:hint="default"/>
          <w:lang w:val="en-US" w:eastAsia="zh-CN"/>
        </w:rPr>
        <w:t>健康、体育、劳动就业、残疾人事业、退役军人服务等领域工作，负责落实社会保险、社会救助、社会福利、优抚安置等社会保障政策。</w:t>
      </w:r>
    </w:p>
    <w:p>
      <w:pPr>
        <w:bidi w:val="0"/>
      </w:pPr>
      <w:r>
        <w:rPr>
          <w:rFonts w:hint="eastAsia"/>
          <w:lang w:val="en-US" w:eastAsia="zh-CN"/>
        </w:rPr>
        <w:t>（5）平安法治办公室。统筹负责平安综治、应急管理、安</w:t>
      </w:r>
      <w:r>
        <w:rPr>
          <w:rFonts w:hint="default"/>
          <w:lang w:val="en-US" w:eastAsia="zh-CN"/>
        </w:rPr>
        <w:t>全生产综合监管、综合执法、信访稳定、防范和处理邪教、人民武装、社会治理等领域工作。</w:t>
      </w:r>
    </w:p>
    <w:p>
      <w:pPr>
        <w:pStyle w:val="4"/>
        <w:bidi w:val="0"/>
        <w:rPr>
          <w:rFonts w:hint="default"/>
        </w:rPr>
      </w:pPr>
      <w:r>
        <w:rPr>
          <w:rFonts w:hint="eastAsia"/>
        </w:rPr>
        <w:t>二、</w:t>
      </w:r>
      <w:r>
        <w:rPr>
          <w:rFonts w:hint="eastAsia"/>
          <w:lang w:eastAsia="zh-CN"/>
        </w:rPr>
        <w:t>单位</w:t>
      </w:r>
      <w:r>
        <w:rPr>
          <w:rFonts w:hint="eastAsia"/>
        </w:rPr>
        <w:t>决算</w:t>
      </w:r>
      <w:r>
        <w:rPr>
          <w:rFonts w:hint="eastAsia"/>
          <w:lang w:eastAsia="zh-CN"/>
        </w:rPr>
        <w:t>收支</w:t>
      </w:r>
      <w:r>
        <w:rPr>
          <w:rFonts w:hint="eastAsia"/>
        </w:rPr>
        <w:t>情况说明</w:t>
      </w:r>
    </w:p>
    <w:p>
      <w:pPr>
        <w:pStyle w:val="5"/>
        <w:bidi w:val="0"/>
        <w:rPr>
          <w:rFonts w:hint="default"/>
          <w:lang w:val="en-US" w:eastAsia="zh-CN"/>
        </w:rPr>
      </w:pPr>
      <w:r>
        <w:rPr>
          <w:rFonts w:hint="eastAsia"/>
          <w:lang w:val="en-US" w:eastAsia="zh-CN"/>
        </w:rPr>
        <w:t>（一）收入支出决算总体情况说明。</w:t>
      </w:r>
    </w:p>
    <w:p>
      <w:pPr>
        <w:bidi w:val="0"/>
        <w:rPr>
          <w:rFonts w:hint="default"/>
          <w:lang w:val="en-US" w:eastAsia="zh-CN"/>
        </w:rPr>
      </w:pPr>
      <w:r>
        <w:rPr>
          <w:rFonts w:hint="eastAsia"/>
          <w:b/>
          <w:bCs/>
          <w:lang w:val="en-US" w:eastAsia="zh-CN"/>
        </w:rPr>
        <w:t>1.总体情况。</w:t>
      </w:r>
      <w:r>
        <w:rPr>
          <w:rFonts w:hint="eastAsia"/>
          <w:lang w:val="en-US" w:eastAsia="zh-CN"/>
        </w:rPr>
        <w:t>2024年度收入总计2101.33万元，支出总计2101.33万元。收支与2023年度相比，减少1797.29万元，下降46.1%，主要原因是：（1）2024年度拨付泥结石路、四好农村路、党群服务中心建设等项目共计316.58万元，较2023年度同类项目资金减少465.78万元；（2）由于2024年按照财政局要求将原统计在机关本级的事业单位划分为7个账套单独核算，故本年度数据不再包含上述事业单位的收入，相关收入较上年度减少943.53万元；（3）由于财政资金紧张，部分预算资金未能全部执行，故本年收入较上年度减少1797.29万元。</w:t>
      </w:r>
    </w:p>
    <w:p>
      <w:pPr>
        <w:bidi w:val="0"/>
        <w:rPr>
          <w:rFonts w:hint="default"/>
          <w:lang w:val="en-US" w:eastAsia="zh-CN"/>
        </w:rPr>
      </w:pPr>
      <w:r>
        <w:rPr>
          <w:rFonts w:hint="eastAsia"/>
          <w:b/>
          <w:bCs/>
          <w:lang w:val="en-US" w:eastAsia="zh-CN"/>
        </w:rPr>
        <w:t>2.收入情况。</w:t>
      </w:r>
      <w:r>
        <w:rPr>
          <w:rFonts w:hint="eastAsia"/>
          <w:lang w:val="en-US" w:eastAsia="zh-CN"/>
        </w:rPr>
        <w:t>2024年度收入合计2101.33万元，与2023年度相比，减少1797.29万元，下降46.1%，主要原因是：（1）2024年度拨付泥结石路、四好农村路、党群服务中心建设等项目共计316.58万元，较2023年度同类项目资金减少465.78万元；（2）由于2024年按照财政局要求将原统计在机关本级的事业单位划分为7个账套单独核算，故本年度数据不再包含上述事业单位的收入，相关收入较上年度减少943.53万元；（3）由于财政资金紧张，部分预算资金未能全部拨付，故本年收入较上年度减少1797.29万元。其中：财政拨款收入2101.33万元，占100.0%；事业收入0万元，占0.0%；经营收入0万元，占0.0%；其他收入0万元，占0.0%。此外，使用非财政拨款结余和专用结余0万元，年初结转和结余0万元。</w:t>
      </w:r>
    </w:p>
    <w:p>
      <w:pPr>
        <w:bidi w:val="0"/>
        <w:rPr>
          <w:rFonts w:hint="default"/>
          <w:lang w:val="en-US" w:eastAsia="zh-CN"/>
        </w:rPr>
      </w:pPr>
      <w:r>
        <w:rPr>
          <w:rFonts w:hint="eastAsia"/>
          <w:b/>
          <w:bCs/>
          <w:lang w:val="en-US" w:eastAsia="zh-CN"/>
        </w:rPr>
        <w:t>3.支出情况。</w:t>
      </w:r>
      <w:r>
        <w:rPr>
          <w:rFonts w:hint="eastAsia"/>
          <w:lang w:val="en-US" w:eastAsia="zh-CN"/>
        </w:rPr>
        <w:t>2024年度支出合计2101.33万元，与2023年度相比，减少1797.29万元，下降46.1%，主要原因是：（1）2024年度拨付泥结石路、四好农村路、党群服务中心建设等项目共计316.58万元，较2023年度同类项目资金减少465.78万元；（2）由于2024年按照财政局要求将原统计在机关本级的事业单位划分为7个账套单独核算，故本年度数据不再包含上述事业单位的支出，相关支出较上年度减少943.53万元；（3）由于财政资金紧张，部分预算资金未能全部执行，故本年支出较上年度减少1797.29万元。其中：基本支出847.68万元，占40.34%；项目支出1253.65万元，占59.66%；经营支出0万元，占0.0%。此外，结余分配0万元。</w:t>
      </w:r>
    </w:p>
    <w:p>
      <w:pPr>
        <w:bidi w:val="0"/>
        <w:rPr>
          <w:rFonts w:hint="eastAsia" w:ascii="方正仿宋_GBK" w:hAnsi="方正仿宋_GBK" w:eastAsia="方正仿宋_GBK" w:cs="方正仿宋_GBK"/>
          <w:b w:val="0"/>
          <w:kern w:val="2"/>
          <w:szCs w:val="32"/>
          <w:lang w:val="en-US" w:eastAsia="zh-CN" w:bidi="ar-SA"/>
        </w:rPr>
      </w:pPr>
      <w:r>
        <w:rPr>
          <w:rFonts w:hint="eastAsia"/>
          <w:b/>
          <w:bCs/>
          <w:lang w:val="en-US" w:eastAsia="zh-CN"/>
        </w:rPr>
        <w:t>4.结转结余情况。</w:t>
      </w:r>
      <w:r>
        <w:rPr>
          <w:rFonts w:hint="eastAsia"/>
          <w:lang w:val="en-US" w:eastAsia="zh-CN"/>
        </w:rPr>
        <w:t>2024年度年末结转和结余0万元，较上年决算数增加0万元</w:t>
      </w:r>
      <w:r>
        <w:rPr>
          <w:rFonts w:hint="eastAsia" w:ascii="方正仿宋_GBK" w:hAnsi="方正仿宋_GBK" w:eastAsia="方正仿宋_GBK" w:cs="方正仿宋_GBK"/>
          <w:b w:val="0"/>
          <w:kern w:val="2"/>
          <w:szCs w:val="32"/>
          <w:lang w:val="en-US" w:eastAsia="zh-CN" w:bidi="ar-SA"/>
        </w:rPr>
        <w:t>。</w:t>
      </w:r>
    </w:p>
    <w:p>
      <w:pPr>
        <w:pStyle w:val="5"/>
        <w:bidi w:val="0"/>
        <w:rPr>
          <w:rFonts w:hint="eastAsia"/>
          <w:lang w:val="en-US" w:eastAsia="zh-CN"/>
        </w:rPr>
      </w:pPr>
      <w:r>
        <w:rPr>
          <w:rFonts w:hint="eastAsia"/>
          <w:lang w:val="en-US" w:eastAsia="zh-CN"/>
        </w:rPr>
        <w:t>（二）财政拨款收入支出决算总体情况说明</w:t>
      </w:r>
    </w:p>
    <w:p>
      <w:pPr>
        <w:bidi w:val="0"/>
        <w:rPr>
          <w:rFonts w:hint="eastAsia"/>
        </w:rPr>
      </w:pPr>
      <w:r>
        <w:rPr>
          <w:rFonts w:hint="eastAsia"/>
          <w:lang w:val="en-US" w:eastAsia="zh-CN"/>
        </w:rPr>
        <w:t>2024年度财政拨款收、支总计2101.33万元。与2023年相比，财政拨款收、支总计各减少1797.29万元，下降46.1%。主要原因是：（1）2024年度拨付泥结石路、四好农村路、党群服务中心建设等项目共计316.58万元，较2023年度同类项目资金减少465.78万元；（2）由于2024年按照财政局要求将原统计在机关本级的事业单位划分为7个账套单独核算，故本年度数据不再包含上述事业单位的收入，相关收入较上年度减少943.53万元；（3）由于财政资金紧张，部分预算资金未能全部执行，故本年收、支较上年度减少1797.29万元</w:t>
      </w:r>
      <w:r>
        <w:rPr>
          <w:rFonts w:hint="eastAsia"/>
        </w:rPr>
        <w:t>。</w:t>
      </w:r>
    </w:p>
    <w:p>
      <w:pPr>
        <w:pStyle w:val="5"/>
        <w:bidi w:val="0"/>
        <w:rPr>
          <w:rFonts w:hint="eastAsia"/>
          <w:lang w:val="en-US" w:eastAsia="zh-CN"/>
        </w:rPr>
      </w:pPr>
      <w:r>
        <w:rPr>
          <w:rFonts w:hint="eastAsia"/>
          <w:lang w:val="en-US" w:eastAsia="zh-CN"/>
        </w:rPr>
        <w:t>（三）一般公共预算财政拨款收入支出决算情况说明</w:t>
      </w:r>
    </w:p>
    <w:p>
      <w:pPr>
        <w:bidi w:val="0"/>
        <w:rPr>
          <w:rFonts w:hint="default"/>
          <w:lang w:val="en-US" w:eastAsia="zh-CN"/>
        </w:rPr>
      </w:pPr>
      <w:r>
        <w:rPr>
          <w:rFonts w:hint="eastAsia"/>
          <w:b/>
          <w:bCs/>
          <w:lang w:val="en-US" w:eastAsia="zh-CN"/>
        </w:rPr>
        <w:t>1.收入情况</w:t>
      </w:r>
      <w:r>
        <w:rPr>
          <w:rFonts w:hint="eastAsia"/>
          <w:lang w:val="en-US" w:eastAsia="zh-CN"/>
        </w:rPr>
        <w:t>。2024年度一般公共预算财政拨款收入2101.33万元，与2023年度相比，减少1797.29万元，下降46.1%。主要原因是：（1）2024年度拨付泥结石路、四好农村路、党群服务中心建设等项目共计316.58万元，较2023年度同类项目资金减少465.78万元；（2）由于2024年按照财政局要求将原统计在机关本级的事业单位划分为7个账套单独核算，故本年度数据不再包含上述事业单位的收入，相关收入较上年度减少943.53万元；（3）由于财政资金紧张，部分预算资金未能全部执行，故本年收入较上年度减少1797.29万元。较年初预算数减少85.88万元，下降3.9%。主要</w:t>
      </w:r>
      <w:bookmarkStart w:id="0" w:name="_GoBack"/>
      <w:bookmarkEnd w:id="0"/>
      <w:r>
        <w:rPr>
          <w:rFonts w:hint="eastAsia"/>
          <w:lang w:val="en-US" w:eastAsia="zh-CN"/>
        </w:rPr>
        <w:t>原因是财政资金紧张，部分预算资金未能全部拨付，故本年收入较年初预算减少85.88万元。此外，年初财政拨款结转和结余0万元。</w:t>
      </w:r>
    </w:p>
    <w:p>
      <w:pPr>
        <w:bidi w:val="0"/>
        <w:rPr>
          <w:rFonts w:hint="eastAsia"/>
          <w:lang w:val="en-US" w:eastAsia="zh-CN"/>
        </w:rPr>
      </w:pPr>
      <w:r>
        <w:rPr>
          <w:rFonts w:hint="eastAsia"/>
          <w:b/>
          <w:bCs/>
          <w:lang w:val="en-US" w:eastAsia="zh-CN"/>
        </w:rPr>
        <w:t>2.支出情况。</w:t>
      </w:r>
      <w:r>
        <w:rPr>
          <w:rFonts w:hint="eastAsia"/>
          <w:lang w:val="en-US" w:eastAsia="zh-CN"/>
        </w:rPr>
        <w:t>2024年度一般公共预算财政拨款支出2101.33万元，与2023年度相比，减少1797.29万元，下降46.1%。主要原因是：（1）2024年度拨付泥结石路、四好农村路、党群服务中心建设等项目共计316.58万元，较2023年度同类项目资金减少465.78万元；（2）由于2024年按照财政局要求将原统计在机关本级的事业单位划分为7个账套单独核算，故本年度数据不再包含上述事业单位的支出，相关支出较上年度减少943.53万元；（3）由于财政资金紧张，部分预算资金未能全部执行，故本年支出较上年度减少1797.29万元。较年初预算数减少85.88万元，下降3.9%。主要原因是财政资金紧张，部分预算资金未能全部执行，故本年支出较年初预算减少85.88万元。</w:t>
      </w:r>
    </w:p>
    <w:p>
      <w:pPr>
        <w:bidi w:val="0"/>
        <w:rPr>
          <w:rFonts w:hint="default"/>
          <w:lang w:val="en-US" w:eastAsia="zh-CN"/>
        </w:rPr>
      </w:pPr>
      <w:r>
        <w:rPr>
          <w:rFonts w:hint="eastAsia"/>
          <w:b/>
          <w:bCs/>
          <w:lang w:val="en-US" w:eastAsia="zh-CN"/>
        </w:rPr>
        <w:t>3.结转结余情况。</w:t>
      </w:r>
      <w:r>
        <w:rPr>
          <w:rFonts w:hint="eastAsia"/>
          <w:lang w:val="en-US" w:eastAsia="zh-CN"/>
        </w:rPr>
        <w:t>2024年度年末一般公共预算财政拨款结转和结余0万元，较上年决算数增加0万元。</w:t>
      </w:r>
    </w:p>
    <w:p>
      <w:pPr>
        <w:bidi w:val="0"/>
        <w:rPr>
          <w:rFonts w:hint="default"/>
          <w:lang w:val="en-US" w:eastAsia="zh-CN"/>
        </w:rPr>
      </w:pPr>
      <w:r>
        <w:rPr>
          <w:rFonts w:hint="eastAsia"/>
          <w:b/>
          <w:bCs/>
          <w:lang w:val="en-US" w:eastAsia="zh-CN"/>
        </w:rPr>
        <w:t>4.比较情况。</w:t>
      </w:r>
      <w:r>
        <w:rPr>
          <w:rFonts w:hint="eastAsia"/>
          <w:lang w:val="en-US" w:eastAsia="zh-CN"/>
        </w:rPr>
        <w:t>本单位2024年度一般公共预算财政拨款支出主要用于以下几个方面：</w:t>
      </w:r>
    </w:p>
    <w:p>
      <w:pPr>
        <w:bidi w:val="0"/>
        <w:rPr>
          <w:rFonts w:hint="default"/>
          <w:lang w:val="en-US" w:eastAsia="zh-CN"/>
        </w:rPr>
      </w:pPr>
      <w:r>
        <w:rPr>
          <w:rFonts w:hint="eastAsia"/>
          <w:lang w:val="en-US" w:eastAsia="zh-CN"/>
        </w:rPr>
        <w:t>（1）一般公共服务支出752.74万元，占35.82%，较年初预算数减少77.45万元，下降9.3%，主要原因是2024年度区财政局为优先保障“三保”等重点支出，对我单位部分非紧急、非刚性的项目支出进行了暂缓拨付，我单位涉及人大经费、公用经费、车辆运行维护费、安全维稳等预算资金共计77.45万元未能全额拨付，最终形成2024年度决算支出低于年初预算。</w:t>
      </w:r>
    </w:p>
    <w:p>
      <w:pPr>
        <w:bidi w:val="0"/>
        <w:rPr>
          <w:rFonts w:hint="default"/>
          <w:lang w:val="en-US" w:eastAsia="zh-CN"/>
        </w:rPr>
      </w:pPr>
      <w:r>
        <w:rPr>
          <w:rFonts w:hint="eastAsia"/>
          <w:lang w:val="en-US" w:eastAsia="zh-CN"/>
        </w:rPr>
        <w:t>（2）文化旅游体育与传媒支出3.6万元，占0.17%，较年初预算数增加3.6万元，增长100.0%，主要原因是2024年度年初编制预算时未将文物安全志愿者补贴项目纳入预算。最终形成2024年度文化旅游体育与传媒决算支出较年初预算增加3.6万元。</w:t>
      </w:r>
    </w:p>
    <w:p>
      <w:pPr>
        <w:bidi w:val="0"/>
        <w:rPr>
          <w:rFonts w:hint="default"/>
          <w:lang w:val="en-US" w:eastAsia="zh-CN"/>
        </w:rPr>
      </w:pPr>
      <w:r>
        <w:rPr>
          <w:rFonts w:hint="eastAsia"/>
          <w:lang w:val="en-US" w:eastAsia="zh-CN"/>
        </w:rPr>
        <w:t>（3）社会保障与就业支出193.6万元，占9.21%，较年初预算数增加10万元，增长5.5%，主要原因是2024年度编制预算时未将临时救助项目纳入预算。最终形成2024年度社会保障与就业决算支出较年初预算增加10万元。</w:t>
      </w:r>
    </w:p>
    <w:p>
      <w:pPr>
        <w:bidi w:val="0"/>
        <w:rPr>
          <w:rFonts w:hint="default"/>
          <w:lang w:val="en-US" w:eastAsia="zh-CN"/>
        </w:rPr>
      </w:pPr>
      <w:r>
        <w:rPr>
          <w:rFonts w:hint="eastAsia"/>
          <w:lang w:val="en-US" w:eastAsia="zh-CN"/>
        </w:rPr>
        <w:t>（4）卫生健康支出47.13万元，占2.24%，较年初预算数减少11.56万元，下降19.7%，主要原因是2024年度区财政局为优先保障“三保”等重点支出，对我单位部分非紧急、非刚性的项目支出进行了暂缓拨付，我单位涉及退休公务员医疗补助缴费、在职公务员医疗补助缴费等预算资金共计11.56万元未能全额拨付，最终形成2024年度决算支出低于年初预算。</w:t>
      </w:r>
    </w:p>
    <w:p>
      <w:pPr>
        <w:bidi w:val="0"/>
        <w:rPr>
          <w:rFonts w:hint="default"/>
          <w:lang w:val="en-US" w:eastAsia="zh-CN"/>
        </w:rPr>
      </w:pPr>
      <w:r>
        <w:rPr>
          <w:rFonts w:hint="eastAsia"/>
          <w:lang w:val="en-US" w:eastAsia="zh-CN"/>
        </w:rPr>
        <w:t>（5）节能环保支出124.04万元，占5.90%，较年初预算数减少10.96万元，下降8.1%，主要原因是2024年度区财政局为优先保障“三保”等重点支出，对我单位部分非紧急、非刚性的项目支出进行了暂缓拨付，我单位涉及河长制、农村保洁及垃圾清运等预算资金共计10.96万元未能全额拨付，最终形成2024年度决算支出低于年初预算。</w:t>
      </w:r>
    </w:p>
    <w:p>
      <w:pPr>
        <w:bidi w:val="0"/>
        <w:rPr>
          <w:rFonts w:hint="default"/>
          <w:lang w:val="en-US" w:eastAsia="zh-CN"/>
        </w:rPr>
      </w:pPr>
      <w:r>
        <w:rPr>
          <w:rFonts w:hint="eastAsia"/>
          <w:lang w:val="en-US" w:eastAsia="zh-CN"/>
        </w:rPr>
        <w:t>（6）城乡社区支出19.82万元，占0.94%，较年初预算数减少112.18万元，下降85.0%，主要原因是；（1）2024年度区财政局为优先保障“三保”等重点支出，对我单位部分非紧急、非刚性的项目支出进行了暂缓拨付，我单位涉及市政维护经费项目预算资金共计20.18万元未能全额拨付；（2）按财政局要求将市政环卫经费92万元由城乡社区支出调整至节能环保支出，最终形成2024年度决算支出低于年初预算。</w:t>
      </w:r>
    </w:p>
    <w:p>
      <w:pPr>
        <w:bidi w:val="0"/>
        <w:rPr>
          <w:rFonts w:hint="default"/>
          <w:lang w:val="en-US" w:eastAsia="zh-CN"/>
        </w:rPr>
      </w:pPr>
      <w:r>
        <w:rPr>
          <w:rFonts w:hint="eastAsia"/>
          <w:lang w:val="en-US" w:eastAsia="zh-CN"/>
        </w:rPr>
        <w:t>（7）农林水支出742.79万元，占35.35%，较年初预算数增加39.53万元，增长5.6%，主要原因是2024年度拨付2021年、2023年泥结石路资金共计125万元，涉及村（社区）办公经费、村（社区）干部保险补贴项目预算资金共计85.47万元未能全额拨付。最终形成2024年度决算支出高于年初预算。</w:t>
      </w:r>
    </w:p>
    <w:p>
      <w:pPr>
        <w:bidi w:val="0"/>
        <w:rPr>
          <w:rFonts w:hint="default"/>
          <w:lang w:val="en-US" w:eastAsia="zh-CN"/>
        </w:rPr>
      </w:pPr>
      <w:r>
        <w:rPr>
          <w:rFonts w:hint="eastAsia"/>
          <w:lang w:val="en-US" w:eastAsia="zh-CN"/>
        </w:rPr>
        <w:t>（8）交通运输支出101.7万元，占4.84%，较年初预算数增加36.7万元，增长56.5%，主要原因是2024年度拨付四好农村路资金共计74.98万元，该部分资金未在年初预算中反映。涉及乡村道路养护项目预算资金共计38.28万元未能全额拨付。最终形成2024年度决算支出高于年初预算36.7万元。</w:t>
      </w:r>
    </w:p>
    <w:p>
      <w:pPr>
        <w:bidi w:val="0"/>
        <w:rPr>
          <w:rFonts w:hint="default"/>
          <w:lang w:val="en-US" w:eastAsia="zh-CN"/>
        </w:rPr>
      </w:pPr>
      <w:r>
        <w:rPr>
          <w:rFonts w:hint="eastAsia"/>
          <w:lang w:val="en-US" w:eastAsia="zh-CN"/>
        </w:rPr>
        <w:t>（9）住房保障支出50.07万元，占2.38%，较年初预算数无增减，主要原因是</w:t>
      </w:r>
      <w:r>
        <w:rPr>
          <w:rFonts w:hint="eastAsia"/>
          <w:lang w:eastAsia="zh-CN"/>
        </w:rPr>
        <w:t>严格按照预算执行</w:t>
      </w:r>
      <w:r>
        <w:rPr>
          <w:rFonts w:hint="eastAsia"/>
          <w:lang w:val="en-US" w:eastAsia="zh-CN"/>
        </w:rPr>
        <w:t>。</w:t>
      </w:r>
    </w:p>
    <w:p>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color w:val="000030"/>
          <w:kern w:val="2"/>
          <w:szCs w:val="32"/>
          <w:lang w:val="en-US" w:eastAsia="zh-CN"/>
        </w:rPr>
      </w:pPr>
      <w:r>
        <w:rPr>
          <w:rFonts w:hint="eastAsia"/>
          <w:lang w:val="en-US" w:eastAsia="zh-CN"/>
        </w:rPr>
        <w:t>（10）灾害防治及应急管理支出65.82万元，占3.13%，较年初预算数增加36.42万元，增长123.9%，主要原因是</w:t>
      </w:r>
      <w:r>
        <w:rPr>
          <w:rFonts w:hint="eastAsia"/>
        </w:rPr>
        <w:t>年中上级新下达抗旱防汛专项资金</w:t>
      </w:r>
      <w:r>
        <w:rPr>
          <w:rFonts w:hint="eastAsia"/>
          <w:lang w:val="en-US" w:eastAsia="zh-CN"/>
        </w:rPr>
        <w:t>50</w:t>
      </w:r>
      <w:r>
        <w:rPr>
          <w:rFonts w:hint="eastAsia"/>
        </w:rPr>
        <w:t>万元</w:t>
      </w:r>
      <w:r>
        <w:rPr>
          <w:rFonts w:hint="eastAsia" w:ascii="方正仿宋_GBK" w:hAnsi="方正仿宋_GBK" w:eastAsia="方正仿宋_GBK" w:cs="方正仿宋_GBK"/>
          <w:color w:val="000030"/>
          <w:kern w:val="2"/>
          <w:szCs w:val="32"/>
          <w:lang w:val="en-US" w:eastAsia="zh-CN"/>
        </w:rPr>
        <w:t>。</w:t>
      </w:r>
    </w:p>
    <w:p>
      <w:pPr>
        <w:pStyle w:val="5"/>
        <w:keepNext w:val="0"/>
        <w:keepLines w:val="0"/>
        <w:pageBreakBefore w:val="0"/>
        <w:widowControl/>
        <w:kinsoku/>
        <w:wordWrap/>
        <w:overflowPunct/>
        <w:topLinePunct w:val="0"/>
        <w:autoSpaceDE/>
        <w:autoSpaceDN/>
        <w:bidi w:val="0"/>
        <w:adjustRightInd/>
        <w:snapToGrid/>
        <w:textAlignment w:val="auto"/>
        <w:rPr>
          <w:rFonts w:hint="eastAsia"/>
          <w:lang w:val="en-US" w:eastAsia="zh-CN"/>
        </w:rPr>
      </w:pPr>
      <w:r>
        <w:rPr>
          <w:rFonts w:hint="eastAsia"/>
          <w:lang w:val="en-US" w:eastAsia="zh-CN"/>
        </w:rPr>
        <w:t>（四）一般公共预算财政拨款基本支出决算情况说明</w:t>
      </w:r>
    </w:p>
    <w:p>
      <w:pPr>
        <w:pStyle w:val="9"/>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000030"/>
          <w:kern w:val="2"/>
          <w:sz w:val="32"/>
          <w:szCs w:val="32"/>
          <w:lang w:val="en-US" w:eastAsia="zh-CN"/>
        </w:rPr>
      </w:pPr>
      <w:r>
        <w:rPr>
          <w:rFonts w:hint="eastAsia" w:ascii="方正仿宋_GBK" w:hAnsi="方正仿宋_GBK" w:eastAsia="方正仿宋_GBK" w:cs="方正仿宋_GBK"/>
          <w:kern w:val="2"/>
          <w:sz w:val="32"/>
          <w:szCs w:val="32"/>
        </w:rPr>
        <w:t> </w:t>
      </w:r>
      <w:r>
        <w:rPr>
          <w:rFonts w:hint="eastAsia"/>
          <w:lang w:val="en-US" w:eastAsia="zh-CN"/>
        </w:rPr>
        <w:t>2024年度一般公共财政拨款基本支出847.68万元。其中：人员经费716.2万元，与2023年度相比，减少791.29万元，下降52.5%，主要原因是2024年按照财政局要求将原统计在机关本级的事业单位划分为7个账套单独核算，故本年度数据不再包含上述事业单位的人员经费收入，相关收入较上年度减少791.29万元。人员经费用途主要包括基本工资、津贴补贴、奖金、社会保障缴费、住房公积金等。公用经费131.48万元，与2023年度相比，减少259.36万元，下降66.4%，主要原因是：（1）由于2024年按照财政局要求将原统计在机关本级的事业单位划分为7个账套单独核算，故本年度数据不再包含上述事业单位的支出，相关支出较上年度减少127.7万元；（2）由于财政资金紧张，部分预算资金未能全部执行，故本年支出较上年度减少259.36万元。公用经费用途主要包括办公费、水费、电费、邮电费、差旅费、维修（护）费等。</w:t>
      </w:r>
    </w:p>
    <w:p>
      <w:pPr>
        <w:pStyle w:val="5"/>
        <w:bidi w:val="0"/>
        <w:rPr>
          <w:rFonts w:hint="eastAsia"/>
          <w:lang w:val="en-US" w:eastAsia="zh-CN"/>
        </w:rPr>
      </w:pPr>
      <w:r>
        <w:rPr>
          <w:rFonts w:hint="eastAsia"/>
          <w:lang w:val="en-US" w:eastAsia="zh-CN"/>
        </w:rPr>
        <w:t>（五）政府性基金预算收支决算情况说明</w:t>
      </w:r>
    </w:p>
    <w:p>
      <w:pPr>
        <w:bidi w:val="0"/>
        <w:rPr>
          <w:rFonts w:hint="default"/>
          <w:lang w:val="en-US" w:eastAsia="zh-CN"/>
        </w:rPr>
      </w:pPr>
      <w:r>
        <w:rPr>
          <w:rFonts w:hint="eastAsia"/>
          <w:lang w:val="en-US" w:eastAsia="zh-CN"/>
        </w:rPr>
        <w:t>本单位2024年度无政府性基金预算财政拨款收支。</w:t>
      </w:r>
    </w:p>
    <w:p>
      <w:pPr>
        <w:pStyle w:val="5"/>
        <w:bidi w:val="0"/>
        <w:rPr>
          <w:rStyle w:val="12"/>
          <w:rFonts w:hint="eastAsia" w:ascii="方正楷体_GBK" w:hAnsi="宋体" w:eastAsia="方正楷体_GBK" w:cs="宋体"/>
          <w:b w:val="0"/>
          <w:kern w:val="0"/>
          <w:sz w:val="32"/>
          <w:szCs w:val="32"/>
          <w:lang w:val="en-US" w:eastAsia="zh-CN" w:bidi="ar-SA"/>
        </w:rPr>
      </w:pPr>
      <w:r>
        <w:rPr>
          <w:rStyle w:val="12"/>
          <w:rFonts w:hint="eastAsia" w:ascii="方正楷体_GBK" w:hAnsi="宋体" w:eastAsia="方正楷体_GBK" w:cs="宋体"/>
          <w:b w:val="0"/>
          <w:kern w:val="0"/>
          <w:sz w:val="32"/>
          <w:szCs w:val="32"/>
          <w:lang w:val="en-US" w:eastAsia="zh-CN" w:bidi="ar-SA"/>
        </w:rPr>
        <w:t>（六）国有资本经营预算财政拨款支出决算情况说明</w:t>
      </w:r>
    </w:p>
    <w:p>
      <w:pPr>
        <w:bidi w:val="0"/>
        <w:rPr>
          <w:rFonts w:hint="default"/>
          <w:lang w:val="en-US" w:eastAsia="zh-CN"/>
        </w:rPr>
      </w:pPr>
      <w:r>
        <w:rPr>
          <w:rFonts w:hint="eastAsia"/>
          <w:lang w:val="en-US" w:eastAsia="zh-CN"/>
        </w:rPr>
        <w:t>本单位2024年度无国有资本经营预算财政拨款支出。</w:t>
      </w:r>
    </w:p>
    <w:p>
      <w:pPr>
        <w:pStyle w:val="4"/>
        <w:bidi w:val="0"/>
        <w:rPr>
          <w:rFonts w:hint="default"/>
        </w:rPr>
      </w:pPr>
      <w:r>
        <w:rPr>
          <w:rFonts w:hint="default"/>
        </w:rPr>
        <w:t>三、</w:t>
      </w:r>
      <w:r>
        <w:rPr>
          <w:rFonts w:hint="eastAsia"/>
          <w:lang w:eastAsia="zh-CN"/>
        </w:rPr>
        <w:t>财政拨款</w:t>
      </w:r>
      <w:r>
        <w:rPr>
          <w:rFonts w:hint="default"/>
        </w:rPr>
        <w:t>“三公”经费情况说明</w:t>
      </w:r>
    </w:p>
    <w:p>
      <w:pPr>
        <w:pStyle w:val="5"/>
        <w:bidi w:val="0"/>
        <w:rPr>
          <w:rStyle w:val="12"/>
          <w:rFonts w:hint="eastAsia" w:ascii="方正楷体_GBK" w:hAnsi="宋体" w:eastAsia="方正楷体_GBK" w:cs="宋体"/>
          <w:b w:val="0"/>
          <w:kern w:val="0"/>
          <w:sz w:val="32"/>
          <w:szCs w:val="32"/>
          <w:lang w:val="en-US" w:eastAsia="zh-CN" w:bidi="ar-SA"/>
        </w:rPr>
      </w:pPr>
      <w:r>
        <w:rPr>
          <w:rStyle w:val="12"/>
          <w:rFonts w:hint="eastAsia" w:ascii="方正楷体_GBK" w:hAnsi="宋体" w:eastAsia="方正楷体_GBK" w:cs="宋体"/>
          <w:b w:val="0"/>
          <w:kern w:val="0"/>
          <w:sz w:val="32"/>
          <w:szCs w:val="32"/>
          <w:lang w:val="en-US" w:eastAsia="zh-CN" w:bidi="ar-SA"/>
        </w:rPr>
        <w:t>（一）“三公”经费支出总体情况说明</w:t>
      </w:r>
    </w:p>
    <w:p>
      <w:pPr>
        <w:bidi w:val="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16.63</w:t>
      </w:r>
      <w:r>
        <w:rPr>
          <w:rFonts w:ascii="方正仿宋_GBK" w:hAnsi="方正仿宋_GBK" w:eastAsia="方正仿宋_GBK" w:cs="方正仿宋_GBK"/>
          <w:sz w:val="32"/>
          <w:szCs w:val="32"/>
          <w:shd w:val="clear" w:color="auto" w:fill="FFFFFF"/>
        </w:rPr>
        <w:t>万元，较年初预算数减少7.87万元，下降32.1%，主要原因是</w:t>
      </w:r>
      <w:r>
        <w:rPr>
          <w:rFonts w:hint="eastAsia" w:ascii="方正仿宋_GBK" w:hAnsi="方正仿宋_GBK" w:eastAsia="方正仿宋_GBK" w:cs="方正仿宋_GBK"/>
          <w:kern w:val="2"/>
          <w:sz w:val="32"/>
          <w:szCs w:val="32"/>
        </w:rPr>
        <w:t>加强公务用车</w:t>
      </w:r>
      <w:r>
        <w:rPr>
          <w:rFonts w:hint="eastAsia" w:cs="方正仿宋_GBK"/>
          <w:kern w:val="2"/>
          <w:sz w:val="32"/>
          <w:szCs w:val="32"/>
          <w:lang w:eastAsia="zh-CN"/>
        </w:rPr>
        <w:t>日常</w:t>
      </w:r>
      <w:r>
        <w:rPr>
          <w:rFonts w:hint="eastAsia" w:ascii="方正仿宋_GBK" w:hAnsi="方正仿宋_GBK" w:eastAsia="方正仿宋_GBK" w:cs="方正仿宋_GBK"/>
          <w:kern w:val="2"/>
          <w:sz w:val="32"/>
          <w:szCs w:val="32"/>
        </w:rPr>
        <w:t>管理</w:t>
      </w:r>
      <w:r>
        <w:rPr>
          <w:rFonts w:hint="eastAsia" w:ascii="方正仿宋_GBK" w:hAnsi="方正仿宋_GBK" w:eastAsia="方正仿宋_GBK" w:cs="方正仿宋_GBK"/>
          <w:kern w:val="2"/>
          <w:sz w:val="32"/>
          <w:szCs w:val="32"/>
          <w:lang w:eastAsia="zh-CN"/>
        </w:rPr>
        <w:t>，</w:t>
      </w:r>
      <w:r>
        <w:rPr>
          <w:rFonts w:hint="eastAsia" w:ascii="方正仿宋_GBK" w:hAnsi="方正仿宋_GBK" w:eastAsia="方正仿宋_GBK" w:cs="方正仿宋_GBK"/>
          <w:kern w:val="2"/>
          <w:sz w:val="32"/>
          <w:szCs w:val="32"/>
        </w:rPr>
        <w:t>公务用车运行维护费</w:t>
      </w:r>
      <w:r>
        <w:rPr>
          <w:rFonts w:hint="eastAsia" w:ascii="方正仿宋_GBK" w:hAnsi="方正仿宋_GBK" w:eastAsia="方正仿宋_GBK" w:cs="方正仿宋_GBK"/>
          <w:kern w:val="2"/>
          <w:sz w:val="32"/>
          <w:szCs w:val="32"/>
          <w:lang w:eastAsia="zh-CN"/>
        </w:rPr>
        <w:t>较年初预算</w:t>
      </w:r>
      <w:r>
        <w:rPr>
          <w:rFonts w:hint="eastAsia" w:ascii="方正仿宋_GBK" w:hAnsi="方正仿宋_GBK" w:eastAsia="方正仿宋_GBK" w:cs="方正仿宋_GBK"/>
          <w:kern w:val="2"/>
          <w:sz w:val="32"/>
          <w:szCs w:val="32"/>
        </w:rPr>
        <w:t>减少</w:t>
      </w:r>
      <w:r>
        <w:rPr>
          <w:rFonts w:hint="eastAsia" w:ascii="方正仿宋_GBK" w:hAnsi="方正仿宋_GBK" w:eastAsia="方正仿宋_GBK" w:cs="方正仿宋_GBK"/>
          <w:kern w:val="2"/>
          <w:sz w:val="32"/>
          <w:szCs w:val="32"/>
          <w:lang w:val="en-US" w:eastAsia="zh-CN"/>
        </w:rPr>
        <w:t>7.87</w:t>
      </w:r>
      <w:r>
        <w:rPr>
          <w:rFonts w:hint="eastAsia" w:ascii="方正仿宋_GBK" w:hAnsi="方正仿宋_GBK" w:eastAsia="方正仿宋_GBK" w:cs="方正仿宋_GBK"/>
          <w:kern w:val="2"/>
          <w:sz w:val="32"/>
          <w:szCs w:val="32"/>
        </w:rPr>
        <w:t>万元</w:t>
      </w:r>
      <w:r>
        <w:rPr>
          <w:rFonts w:hint="eastAsia" w:ascii="方正仿宋_GBK" w:hAnsi="方正仿宋_GBK" w:eastAsia="方正仿宋_GBK" w:cs="方正仿宋_GBK"/>
          <w:kern w:val="2"/>
          <w:sz w:val="32"/>
          <w:szCs w:val="32"/>
          <w:lang w:eastAsia="zh-CN"/>
        </w:rPr>
        <w:t>。</w:t>
      </w:r>
      <w:r>
        <w:rPr>
          <w:rFonts w:ascii="方正仿宋_GBK" w:hAnsi="方正仿宋_GBK" w:eastAsia="方正仿宋_GBK" w:cs="方正仿宋_GBK"/>
          <w:sz w:val="32"/>
          <w:szCs w:val="32"/>
          <w:shd w:val="clear" w:color="auto" w:fill="FFFFFF"/>
        </w:rPr>
        <w:t>较上年支出数减少0.11万元，下降0.7%，主要原因是</w:t>
      </w:r>
      <w:r>
        <w:rPr>
          <w:rFonts w:hint="eastAsia" w:ascii="方正仿宋_GBK" w:hAnsi="方正仿宋_GBK" w:eastAsia="方正仿宋_GBK" w:cs="方正仿宋_GBK"/>
          <w:kern w:val="2"/>
          <w:sz w:val="32"/>
          <w:szCs w:val="32"/>
        </w:rPr>
        <w:t>加强公务用车</w:t>
      </w:r>
      <w:r>
        <w:rPr>
          <w:rFonts w:hint="eastAsia" w:cs="方正仿宋_GBK"/>
          <w:kern w:val="2"/>
          <w:sz w:val="32"/>
          <w:szCs w:val="32"/>
          <w:lang w:eastAsia="zh-CN"/>
        </w:rPr>
        <w:t>日常</w:t>
      </w:r>
      <w:r>
        <w:rPr>
          <w:rFonts w:hint="eastAsia" w:ascii="方正仿宋_GBK" w:hAnsi="方正仿宋_GBK" w:eastAsia="方正仿宋_GBK" w:cs="方正仿宋_GBK"/>
          <w:kern w:val="2"/>
          <w:sz w:val="32"/>
          <w:szCs w:val="32"/>
        </w:rPr>
        <w:t>管理</w:t>
      </w:r>
      <w:r>
        <w:rPr>
          <w:rFonts w:hint="eastAsia" w:ascii="方正仿宋_GBK" w:hAnsi="方正仿宋_GBK" w:eastAsia="方正仿宋_GBK" w:cs="方正仿宋_GBK"/>
          <w:kern w:val="2"/>
          <w:sz w:val="32"/>
          <w:szCs w:val="32"/>
          <w:lang w:eastAsia="zh-CN"/>
        </w:rPr>
        <w:t>，</w:t>
      </w:r>
      <w:r>
        <w:rPr>
          <w:rFonts w:hint="eastAsia" w:ascii="方正仿宋_GBK" w:hAnsi="方正仿宋_GBK" w:eastAsia="方正仿宋_GBK" w:cs="方正仿宋_GBK"/>
          <w:kern w:val="2"/>
          <w:sz w:val="32"/>
          <w:szCs w:val="32"/>
        </w:rPr>
        <w:t>公务用车运行维护费</w:t>
      </w:r>
      <w:r>
        <w:rPr>
          <w:rFonts w:hint="eastAsia" w:ascii="方正仿宋_GBK" w:hAnsi="方正仿宋_GBK" w:eastAsia="方正仿宋_GBK" w:cs="方正仿宋_GBK"/>
          <w:kern w:val="2"/>
          <w:sz w:val="32"/>
          <w:szCs w:val="32"/>
          <w:lang w:eastAsia="zh-CN"/>
        </w:rPr>
        <w:t>较</w:t>
      </w:r>
      <w:r>
        <w:rPr>
          <w:rFonts w:hint="eastAsia" w:ascii="方正仿宋_GBK" w:hAnsi="方正仿宋_GBK" w:eastAsia="方正仿宋_GBK" w:cs="方正仿宋_GBK"/>
          <w:kern w:val="2"/>
          <w:sz w:val="32"/>
          <w:szCs w:val="32"/>
          <w:lang w:val="en-US" w:eastAsia="zh-CN"/>
        </w:rPr>
        <w:t>2023年减少0.11万元。</w:t>
      </w:r>
    </w:p>
    <w:p>
      <w:pPr>
        <w:pStyle w:val="5"/>
        <w:bidi w:val="0"/>
        <w:rPr>
          <w:rStyle w:val="12"/>
          <w:rFonts w:hint="eastAsia" w:ascii="方正楷体_GBK" w:hAnsi="宋体" w:eastAsia="方正楷体_GBK" w:cs="宋体"/>
          <w:b w:val="0"/>
          <w:kern w:val="0"/>
          <w:sz w:val="32"/>
          <w:szCs w:val="32"/>
          <w:lang w:val="en-US" w:eastAsia="zh-CN" w:bidi="ar-SA"/>
        </w:rPr>
      </w:pPr>
      <w:r>
        <w:rPr>
          <w:rStyle w:val="12"/>
          <w:rFonts w:hint="eastAsia" w:ascii="方正楷体_GBK" w:hAnsi="宋体" w:eastAsia="方正楷体_GBK" w:cs="宋体"/>
          <w:b w:val="0"/>
          <w:kern w:val="0"/>
          <w:sz w:val="32"/>
          <w:szCs w:val="32"/>
          <w:lang w:val="en-US" w:eastAsia="zh-CN" w:bidi="ar-SA"/>
        </w:rPr>
        <w:t>（二）“三公”经费分项支出情况</w:t>
      </w:r>
    </w:p>
    <w:p>
      <w:pPr>
        <w:bidi w:val="0"/>
        <w:rPr>
          <w:rFonts w:hint="default"/>
        </w:rPr>
      </w:pPr>
      <w:r>
        <w:rPr>
          <w:rFonts w:hint="eastAsia"/>
        </w:rPr>
        <w:t>202</w:t>
      </w:r>
      <w:r>
        <w:rPr>
          <w:rFonts w:hint="eastAsia"/>
          <w:lang w:val="en-US" w:eastAsia="zh-CN"/>
        </w:rPr>
        <w:t>4</w:t>
      </w:r>
      <w:r>
        <w:rPr>
          <w:rFonts w:hint="eastAsia"/>
        </w:rPr>
        <w:t>年度本单位因公出国（境）费用0万元，费用支出较年初预算数增加0万元，增长0.0%。较上年支出数增加0万元，增长0.0%。202</w:t>
      </w:r>
      <w:r>
        <w:rPr>
          <w:rFonts w:hint="eastAsia"/>
          <w:lang w:val="en-US" w:eastAsia="zh-CN"/>
        </w:rPr>
        <w:t>4</w:t>
      </w:r>
      <w:r>
        <w:rPr>
          <w:rFonts w:hint="eastAsia"/>
        </w:rPr>
        <w:t>年度我单位无因公出国（境）支出，与上年度决算数持平。</w:t>
      </w:r>
    </w:p>
    <w:p>
      <w:pPr>
        <w:bidi w:val="0"/>
        <w:rPr>
          <w:rFonts w:hint="default"/>
        </w:rPr>
      </w:pPr>
      <w:r>
        <w:rPr>
          <w:rFonts w:hint="eastAsia" w:ascii="方正仿宋_GBK" w:hAnsi="方正仿宋_GBK" w:eastAsia="方正仿宋_GBK" w:cs="方正仿宋_GBK"/>
          <w:kern w:val="2"/>
          <w:szCs w:val="32"/>
          <w:lang w:eastAsia="zh-CN"/>
        </w:rPr>
        <w:t>公务用车</w:t>
      </w:r>
      <w:r>
        <w:rPr>
          <w:rFonts w:hint="eastAsia" w:ascii="方正仿宋_GBK" w:hAnsi="方正仿宋_GBK" w:eastAsia="方正仿宋_GBK" w:cs="方正仿宋_GBK"/>
          <w:kern w:val="2"/>
          <w:szCs w:val="32"/>
        </w:rPr>
        <w:t>购置费0万元，费用支出较年初预算数增加0万元，增长0.0</w:t>
      </w:r>
      <w:r>
        <w:rPr>
          <w:rFonts w:hint="eastAsia"/>
        </w:rPr>
        <w:t>%。较上年支出数增加0万元，增长0.0%。本单位202</w:t>
      </w:r>
      <w:r>
        <w:rPr>
          <w:rFonts w:hint="eastAsia"/>
          <w:lang w:val="en-US" w:eastAsia="zh-CN"/>
        </w:rPr>
        <w:t>4</w:t>
      </w:r>
      <w:r>
        <w:rPr>
          <w:rFonts w:hint="eastAsia"/>
        </w:rPr>
        <w:t>年度未发生</w:t>
      </w:r>
      <w:r>
        <w:rPr>
          <w:rFonts w:hint="eastAsia"/>
          <w:lang w:eastAsia="zh-CN"/>
        </w:rPr>
        <w:t>公务用车</w:t>
      </w:r>
      <w:r>
        <w:rPr>
          <w:rFonts w:hint="eastAsia"/>
        </w:rPr>
        <w:t>购置费，与上年度决算数持平。</w:t>
      </w:r>
    </w:p>
    <w:p>
      <w:pPr>
        <w:bidi w:val="0"/>
        <w:rPr>
          <w:rFonts w:hint="default"/>
        </w:rPr>
      </w:pPr>
      <w:r>
        <w:rPr>
          <w:rFonts w:hint="eastAsia"/>
        </w:rPr>
        <w:t>公务车运行维护费16.63万元，主要用于</w:t>
      </w:r>
      <w:r>
        <w:rPr>
          <w:rFonts w:hint="eastAsia"/>
          <w:lang w:eastAsia="zh-CN"/>
        </w:rPr>
        <w:t>公务用车</w:t>
      </w:r>
      <w:r>
        <w:rPr>
          <w:rFonts w:hint="eastAsia"/>
        </w:rPr>
        <w:t>燃料费、维修费、路桥费、保险费等。费用支出较年初预算数减少7.87万元，下降32.1%，主要原因是加强公务用车</w:t>
      </w:r>
      <w:r>
        <w:rPr>
          <w:rFonts w:hint="eastAsia"/>
          <w:lang w:eastAsia="zh-CN"/>
        </w:rPr>
        <w:t>日常</w:t>
      </w:r>
      <w:r>
        <w:rPr>
          <w:rFonts w:hint="eastAsia"/>
        </w:rPr>
        <w:t>管理</w:t>
      </w:r>
      <w:r>
        <w:rPr>
          <w:rFonts w:hint="eastAsia"/>
          <w:lang w:eastAsia="zh-CN"/>
        </w:rPr>
        <w:t>，</w:t>
      </w:r>
      <w:r>
        <w:rPr>
          <w:rFonts w:hint="eastAsia"/>
        </w:rPr>
        <w:t>公务用车运行维护费减少。较上年支出数减少0.11万元，下降0.7%，主要原因是加强公务用车管理</w:t>
      </w:r>
      <w:r>
        <w:rPr>
          <w:rFonts w:hint="eastAsia"/>
          <w:lang w:eastAsia="zh-CN"/>
        </w:rPr>
        <w:t>，</w:t>
      </w:r>
      <w:r>
        <w:rPr>
          <w:rFonts w:hint="eastAsia"/>
        </w:rPr>
        <w:t>公务用车运行维护费减少。</w:t>
      </w:r>
    </w:p>
    <w:p>
      <w:pPr>
        <w:bidi w:val="0"/>
        <w:rPr>
          <w:rFonts w:ascii="仿宋" w:hAnsi="仿宋" w:eastAsia="仿宋" w:cs="仿宋"/>
          <w:kern w:val="2"/>
          <w:szCs w:val="32"/>
        </w:rPr>
      </w:pPr>
      <w:r>
        <w:rPr>
          <w:rFonts w:hint="eastAsia"/>
        </w:rPr>
        <w:t>公务接待费0万元，费用支出较年初预算数增加0万元，增长0.0%，较上年支出数增加0万元，增长0.0%，本单位202</w:t>
      </w:r>
      <w:r>
        <w:rPr>
          <w:rFonts w:hint="eastAsia"/>
          <w:lang w:val="en-US" w:eastAsia="zh-CN"/>
        </w:rPr>
        <w:t>4</w:t>
      </w:r>
      <w:r>
        <w:rPr>
          <w:rFonts w:hint="eastAsia"/>
        </w:rPr>
        <w:t>年度未发生公务接待费，与上</w:t>
      </w:r>
      <w:r>
        <w:rPr>
          <w:rFonts w:hint="eastAsia" w:ascii="方正仿宋_GBK" w:hAnsi="方正仿宋_GBK" w:eastAsia="方正仿宋_GBK" w:cs="方正仿宋_GBK"/>
          <w:kern w:val="2"/>
          <w:szCs w:val="32"/>
        </w:rPr>
        <w:t>年度决算数持平。</w:t>
      </w:r>
    </w:p>
    <w:p>
      <w:pPr>
        <w:pStyle w:val="5"/>
        <w:bidi w:val="0"/>
        <w:rPr>
          <w:rStyle w:val="12"/>
          <w:rFonts w:hint="eastAsia" w:ascii="方正楷体_GBK" w:hAnsi="宋体" w:eastAsia="方正楷体_GBK" w:cs="宋体"/>
          <w:b w:val="0"/>
          <w:kern w:val="0"/>
          <w:sz w:val="32"/>
          <w:szCs w:val="32"/>
          <w:lang w:val="en-US" w:eastAsia="zh-CN" w:bidi="ar-SA"/>
        </w:rPr>
      </w:pPr>
      <w:r>
        <w:rPr>
          <w:rStyle w:val="12"/>
          <w:rFonts w:hint="eastAsia" w:ascii="方正楷体_GBK" w:hAnsi="宋体" w:eastAsia="方正楷体_GBK" w:cs="宋体"/>
          <w:b w:val="0"/>
          <w:kern w:val="0"/>
          <w:sz w:val="32"/>
          <w:szCs w:val="32"/>
          <w:lang w:val="en-US" w:eastAsia="zh-CN" w:bidi="ar-SA"/>
        </w:rPr>
        <w:t>（三）“三公”经费实物量情况</w:t>
      </w:r>
    </w:p>
    <w:p>
      <w:pPr>
        <w:bidi w:val="0"/>
        <w:rPr>
          <w:rFonts w:hint="default"/>
        </w:rPr>
      </w:pPr>
      <w:r>
        <w:rPr>
          <w:rFonts w:hint="eastAsia"/>
          <w:lang w:eastAsia="zh-CN"/>
        </w:rPr>
        <w:t>2024年</w:t>
      </w:r>
      <w:r>
        <w:rPr>
          <w:rFonts w:hint="eastAsia"/>
        </w:rPr>
        <w:t>度本单位因公出国（境）共计0个团组，0人；公务用车购置0辆，公务车保有量为5辆；国内公务接待0批次0人，其中：国内外事接待0批次，0人；国（境）外公务接待0批次，0人。</w:t>
      </w:r>
      <w:r>
        <w:rPr>
          <w:rFonts w:hint="eastAsia"/>
          <w:lang w:eastAsia="zh-CN"/>
        </w:rPr>
        <w:t>2024年</w:t>
      </w:r>
      <w:r>
        <w:rPr>
          <w:rFonts w:hint="eastAsia"/>
        </w:rPr>
        <w:t>本单位人均接待费0元，车均购置费0万元，车均维护费3.33万元。</w:t>
      </w:r>
    </w:p>
    <w:p>
      <w:pPr>
        <w:pStyle w:val="4"/>
        <w:bidi w:val="0"/>
        <w:rPr>
          <w:rFonts w:hint="default"/>
        </w:rPr>
      </w:pPr>
      <w:r>
        <w:rPr>
          <w:rFonts w:hint="default"/>
        </w:rPr>
        <w:t>四、其他需要说明的事项</w:t>
      </w:r>
    </w:p>
    <w:p>
      <w:pPr>
        <w:pStyle w:val="5"/>
        <w:bidi w:val="0"/>
        <w:rPr>
          <w:rStyle w:val="12"/>
          <w:rFonts w:hint="eastAsia" w:ascii="方正楷体_GBK" w:hAnsi="宋体" w:eastAsia="方正楷体_GBK" w:cs="宋体"/>
          <w:b w:val="0"/>
          <w:kern w:val="0"/>
          <w:sz w:val="32"/>
          <w:szCs w:val="32"/>
          <w:lang w:val="en-US" w:eastAsia="zh-CN" w:bidi="ar-SA"/>
        </w:rPr>
      </w:pPr>
      <w:r>
        <w:rPr>
          <w:rStyle w:val="12"/>
          <w:rFonts w:hint="eastAsia" w:ascii="方正楷体_GBK" w:hAnsi="宋体" w:eastAsia="方正楷体_GBK" w:cs="宋体"/>
          <w:b w:val="0"/>
          <w:kern w:val="0"/>
          <w:sz w:val="32"/>
          <w:szCs w:val="32"/>
          <w:lang w:val="en-US" w:eastAsia="zh-CN" w:bidi="ar-SA"/>
        </w:rPr>
        <w:t>（一）财政拨款会议费和培训费情况说明</w:t>
      </w:r>
    </w:p>
    <w:p>
      <w:pPr>
        <w:bidi w:val="0"/>
        <w:rPr>
          <w:rFonts w:hint="default"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本年度会议费支出3.34万元，与2023年度相比，减少7.16万元，下降68.2%，主要原因是</w:t>
      </w:r>
      <w:r>
        <w:rPr>
          <w:rFonts w:hint="eastAsia" w:ascii="方正仿宋_GBK" w:hAnsi="方正仿宋_GBK" w:eastAsia="方正仿宋_GBK" w:cs="方正仿宋_GBK"/>
          <w:color w:val="000030"/>
          <w:kern w:val="2"/>
          <w:sz w:val="32"/>
          <w:szCs w:val="32"/>
          <w:lang w:val="en-US" w:eastAsia="zh-CN"/>
        </w:rPr>
        <w:t>2024年度区财政局为优先保障“三保”等重点支出，对我单位部分非紧急、非刚性的项目支出进行了</w:t>
      </w:r>
      <w:r>
        <w:rPr>
          <w:rFonts w:hint="eastAsia" w:cs="方正仿宋_GBK"/>
          <w:color w:val="000030"/>
          <w:kern w:val="2"/>
          <w:sz w:val="32"/>
          <w:szCs w:val="32"/>
          <w:lang w:val="en-US" w:eastAsia="zh-CN"/>
        </w:rPr>
        <w:t>暂缓拨付</w:t>
      </w:r>
      <w:r>
        <w:rPr>
          <w:rFonts w:hint="eastAsia" w:ascii="方正仿宋_GBK" w:hAnsi="方正仿宋_GBK" w:eastAsia="方正仿宋_GBK" w:cs="方正仿宋_GBK"/>
          <w:color w:val="000030"/>
          <w:kern w:val="2"/>
          <w:sz w:val="32"/>
          <w:szCs w:val="32"/>
          <w:lang w:val="en-US" w:eastAsia="zh-CN"/>
        </w:rPr>
        <w:t>，我单位涉及人大经费7.16万元未能全额拨付</w:t>
      </w:r>
      <w:r>
        <w:rPr>
          <w:rFonts w:hint="eastAsia" w:ascii="方正仿宋_GBK" w:hAnsi="方正仿宋_GBK" w:eastAsia="方正仿宋_GBK" w:cs="方正仿宋_GBK"/>
          <w:kern w:val="2"/>
          <w:sz w:val="32"/>
          <w:szCs w:val="32"/>
        </w:rPr>
        <w:t>。本年度培训费支出2.33万元，与2023年度相比，减少1.32万元，下降36.2%，主要原因是</w:t>
      </w:r>
      <w:r>
        <w:rPr>
          <w:rFonts w:hint="eastAsia" w:ascii="方正仿宋_GBK" w:hAnsi="方正仿宋_GBK" w:eastAsia="方正仿宋_GBK" w:cs="方正仿宋_GBK"/>
          <w:color w:val="000030"/>
          <w:kern w:val="2"/>
          <w:sz w:val="32"/>
          <w:szCs w:val="32"/>
          <w:lang w:val="en-US" w:eastAsia="zh-CN"/>
        </w:rPr>
        <w:t>2024年度区财政局为优先保障“三保”等重点支出，对我单位部分非紧急、非刚性的项目支出进行了</w:t>
      </w:r>
      <w:r>
        <w:rPr>
          <w:rFonts w:hint="eastAsia" w:cs="方正仿宋_GBK"/>
          <w:color w:val="000030"/>
          <w:kern w:val="2"/>
          <w:sz w:val="32"/>
          <w:szCs w:val="32"/>
          <w:lang w:val="en-US" w:eastAsia="zh-CN"/>
        </w:rPr>
        <w:t>暂缓拨付</w:t>
      </w:r>
      <w:r>
        <w:rPr>
          <w:rFonts w:hint="eastAsia" w:ascii="方正仿宋_GBK" w:hAnsi="方正仿宋_GBK" w:eastAsia="方正仿宋_GBK" w:cs="方正仿宋_GBK"/>
          <w:color w:val="000030"/>
          <w:kern w:val="2"/>
          <w:sz w:val="32"/>
          <w:szCs w:val="32"/>
          <w:lang w:val="en-US" w:eastAsia="zh-CN"/>
        </w:rPr>
        <w:t>，我单位涉及公用经费1.32万元未能全额拨付</w:t>
      </w:r>
      <w:r>
        <w:rPr>
          <w:rFonts w:hint="eastAsia" w:ascii="方正仿宋_GBK" w:hAnsi="方正仿宋_GBK" w:eastAsia="方正仿宋_GBK" w:cs="方正仿宋_GBK"/>
          <w:kern w:val="2"/>
          <w:sz w:val="32"/>
          <w:szCs w:val="32"/>
        </w:rPr>
        <w:t>。</w:t>
      </w:r>
    </w:p>
    <w:p>
      <w:pPr>
        <w:pStyle w:val="5"/>
        <w:bidi w:val="0"/>
        <w:rPr>
          <w:rStyle w:val="12"/>
          <w:rFonts w:hint="eastAsia" w:ascii="方正楷体_GBK" w:hAnsi="宋体" w:eastAsia="方正楷体_GBK" w:cs="宋体"/>
          <w:b w:val="0"/>
          <w:kern w:val="0"/>
          <w:sz w:val="32"/>
          <w:szCs w:val="32"/>
          <w:lang w:val="en-US" w:eastAsia="zh-CN" w:bidi="ar-SA"/>
        </w:rPr>
      </w:pPr>
      <w:r>
        <w:rPr>
          <w:rStyle w:val="12"/>
          <w:rFonts w:hint="eastAsia" w:ascii="方正楷体_GBK" w:hAnsi="宋体" w:eastAsia="方正楷体_GBK" w:cs="宋体"/>
          <w:b w:val="0"/>
          <w:kern w:val="0"/>
          <w:sz w:val="32"/>
          <w:szCs w:val="32"/>
          <w:lang w:val="en-US" w:eastAsia="zh-CN" w:bidi="ar-SA"/>
        </w:rPr>
        <w:t>（二）机关运行经费情况说明</w:t>
      </w:r>
    </w:p>
    <w:p>
      <w:pPr>
        <w:bidi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131.48</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kern w:val="2"/>
          <w:sz w:val="32"/>
          <w:szCs w:val="32"/>
        </w:rPr>
        <w:t>办公费、印刷费、手续费、水费、电费、邮电费、差旅费、维修（护）费</w:t>
      </w:r>
      <w:r>
        <w:rPr>
          <w:rFonts w:hint="eastAsia" w:ascii="方正仿宋_GBK" w:hAnsi="方正仿宋_GBK" w:eastAsia="方正仿宋_GBK" w:cs="方正仿宋_GBK"/>
          <w:kern w:val="2"/>
          <w:sz w:val="32"/>
          <w:szCs w:val="32"/>
          <w:lang w:eastAsia="zh-CN"/>
        </w:rPr>
        <w:t>。</w:t>
      </w:r>
      <w:r>
        <w:rPr>
          <w:rFonts w:ascii="方正仿宋_GBK" w:hAnsi="方正仿宋_GBK" w:eastAsia="方正仿宋_GBK" w:cs="方正仿宋_GBK"/>
          <w:sz w:val="32"/>
          <w:szCs w:val="32"/>
          <w:shd w:val="clear" w:color="auto" w:fill="FFFFFF"/>
        </w:rPr>
        <w:t>机关运行经费较上年支出数减少83.3万元，下降38.8%，主要</w:t>
      </w:r>
      <w:r>
        <w:rPr>
          <w:rFonts w:hint="eastAsia" w:cs="方正仿宋_GBK"/>
          <w:sz w:val="32"/>
          <w:szCs w:val="32"/>
          <w:shd w:val="clear" w:color="auto" w:fill="FFFFFF"/>
          <w:lang w:eastAsia="zh-CN"/>
        </w:rPr>
        <w:t>原因是</w:t>
      </w:r>
      <w:r>
        <w:rPr>
          <w:rFonts w:hint="eastAsia" w:ascii="方正仿宋_GBK" w:hAnsi="方正仿宋_GBK" w:eastAsia="方正仿宋_GBK" w:cs="方正仿宋_GBK"/>
          <w:color w:val="000030"/>
          <w:kern w:val="2"/>
          <w:sz w:val="32"/>
          <w:szCs w:val="32"/>
        </w:rPr>
        <w:t>2024年按照财政局要求将原统计在机关本级的事业单位划分为7个账套单独核算，</w:t>
      </w:r>
      <w:r>
        <w:rPr>
          <w:rFonts w:hint="eastAsia"/>
          <w:lang w:val="en-US" w:eastAsia="zh-CN"/>
        </w:rPr>
        <w:t>故本年度数据不再包含上述事业单位的收入，相关收入较上年度减少83.3万元</w:t>
      </w:r>
      <w:r>
        <w:rPr>
          <w:rFonts w:hint="eastAsia" w:ascii="方正仿宋_GBK" w:hAnsi="方正仿宋_GBK" w:eastAsia="方正仿宋_GBK" w:cs="方正仿宋_GBK"/>
          <w:color w:val="000030"/>
          <w:kern w:val="2"/>
          <w:sz w:val="32"/>
          <w:szCs w:val="32"/>
          <w:lang w:eastAsia="zh-CN"/>
        </w:rPr>
        <w:t>。</w:t>
      </w:r>
    </w:p>
    <w:p>
      <w:pPr>
        <w:pStyle w:val="5"/>
        <w:bidi w:val="0"/>
        <w:rPr>
          <w:rStyle w:val="12"/>
          <w:rFonts w:hint="eastAsia" w:ascii="方正楷体_GBK" w:hAnsi="宋体" w:eastAsia="方正楷体_GBK" w:cs="宋体"/>
          <w:b w:val="0"/>
          <w:kern w:val="0"/>
          <w:sz w:val="32"/>
          <w:szCs w:val="32"/>
          <w:lang w:val="en-US" w:eastAsia="zh-CN" w:bidi="ar-SA"/>
        </w:rPr>
      </w:pPr>
      <w:r>
        <w:rPr>
          <w:rStyle w:val="12"/>
          <w:rFonts w:hint="eastAsia" w:ascii="方正楷体_GBK" w:hAnsi="宋体" w:eastAsia="方正楷体_GBK" w:cs="宋体"/>
          <w:b w:val="0"/>
          <w:kern w:val="0"/>
          <w:sz w:val="32"/>
          <w:szCs w:val="32"/>
          <w:lang w:val="en-US" w:eastAsia="zh-CN" w:bidi="ar-SA"/>
        </w:rPr>
        <w:t>（三）国有资产占用情况说明</w:t>
      </w:r>
    </w:p>
    <w:p>
      <w:pPr>
        <w:bidi w:val="0"/>
        <w:rPr>
          <w:rFonts w:hint="default"/>
        </w:rPr>
      </w:pPr>
      <w:r>
        <w:t>截至</w:t>
      </w:r>
      <w:r>
        <w:rPr>
          <w:rFonts w:hint="eastAsia"/>
          <w:lang w:eastAsia="zh-CN"/>
        </w:rPr>
        <w:t>2024年</w:t>
      </w:r>
      <w:r>
        <w:t>12月31日，本单位共有车辆5辆，其中，副部（省）级及以上领导用车0辆、主要负责人用车0辆、机要通信用车0辆、应急保障用车2辆、执法执勤用车0辆，特种专业技术用车3辆，离退休干部用车0辆。单价100万元（含）以上专用设备0台（套）。</w:t>
      </w:r>
    </w:p>
    <w:p>
      <w:pPr>
        <w:pStyle w:val="5"/>
        <w:bidi w:val="0"/>
        <w:rPr>
          <w:rFonts w:hint="eastAsia"/>
          <w:lang w:val="en-US" w:eastAsia="zh-CN"/>
        </w:rPr>
      </w:pPr>
      <w:r>
        <w:rPr>
          <w:rFonts w:hint="eastAsia"/>
          <w:lang w:val="en-US" w:eastAsia="zh-CN"/>
        </w:rPr>
        <w:t>（四）政府采购支出情况说明</w:t>
      </w:r>
    </w:p>
    <w:p>
      <w:pPr>
        <w:bidi w:val="0"/>
        <w:rPr>
          <w:rFonts w:hint="default"/>
        </w:rPr>
      </w:pPr>
      <w:r>
        <w:rPr>
          <w:rFonts w:hint="eastAsia"/>
          <w:lang w:eastAsia="zh-CN"/>
        </w:rPr>
        <w:t>2024年</w:t>
      </w:r>
      <w:r>
        <w:rPr>
          <w:rFonts w:hint="default"/>
        </w:rPr>
        <w:t>度本单位政府采购支出总额3.17万元，其中：政府采购货物支出3.17万元、政府采购工程支出</w:t>
      </w:r>
      <w:r>
        <w:rPr>
          <w:rFonts w:hint="eastAsia"/>
          <w:lang w:val="en-US" w:eastAsia="zh-CN"/>
        </w:rPr>
        <w:t>0</w:t>
      </w:r>
      <w:r>
        <w:rPr>
          <w:rFonts w:hint="default"/>
        </w:rPr>
        <w:t>万元、政府采购服务支出</w:t>
      </w:r>
      <w:r>
        <w:rPr>
          <w:rFonts w:hint="eastAsia"/>
          <w:lang w:val="en-US" w:eastAsia="zh-CN"/>
        </w:rPr>
        <w:t>0</w:t>
      </w:r>
      <w:r>
        <w:rPr>
          <w:rFonts w:hint="default"/>
        </w:rPr>
        <w:t>万元。授予中小企业合同金额1.71万元，占政府采购支出总额的54.07%，其中：授予小微企业合同金额1.71万元，占政府采购支出总额的54.07 %。主要用于采购</w:t>
      </w:r>
      <w:r>
        <w:rPr>
          <w:rFonts w:hint="eastAsia"/>
          <w:lang w:eastAsia="zh-CN"/>
        </w:rPr>
        <w:t>机关办公电脑、空调等资产</w:t>
      </w:r>
      <w:r>
        <w:rPr>
          <w:rFonts w:hint="default"/>
        </w:rPr>
        <w:t>。</w:t>
      </w:r>
    </w:p>
    <w:p>
      <w:pPr>
        <w:pStyle w:val="4"/>
        <w:bidi w:val="0"/>
      </w:pPr>
      <w:r>
        <w:rPr>
          <w:rFonts w:hint="eastAsia"/>
        </w:rPr>
        <w:t>五、预算绩效管理情况说明</w:t>
      </w:r>
    </w:p>
    <w:p>
      <w:pPr>
        <w:pStyle w:val="5"/>
        <w:bidi w:val="0"/>
        <w:rPr>
          <w:rFonts w:hint="eastAsia"/>
          <w:lang w:val="en-US" w:eastAsia="zh-CN"/>
        </w:rPr>
      </w:pPr>
      <w:r>
        <w:rPr>
          <w:rFonts w:hint="eastAsia"/>
          <w:lang w:val="en-US" w:eastAsia="zh-CN"/>
        </w:rPr>
        <w:t>（一）预算绩效管理工作开展情况</w:t>
      </w:r>
    </w:p>
    <w:p>
      <w:pPr>
        <w:bidi w:val="0"/>
        <w:rPr>
          <w:rFonts w:hint="eastAsia"/>
        </w:rPr>
      </w:pPr>
      <w:r>
        <w:rPr>
          <w:rFonts w:hint="eastAsia"/>
        </w:rPr>
        <w:t>根据预算绩效管理要求，我单位</w:t>
      </w:r>
      <w:r>
        <w:rPr>
          <w:rFonts w:hint="eastAsia"/>
          <w:lang w:eastAsia="zh-CN"/>
        </w:rPr>
        <w:t>对</w:t>
      </w:r>
      <w:r>
        <w:rPr>
          <w:rFonts w:hint="eastAsia"/>
          <w:lang w:val="en-US" w:eastAsia="zh-CN"/>
        </w:rPr>
        <w:t>30</w:t>
      </w:r>
      <w:r>
        <w:rPr>
          <w:rFonts w:hint="eastAsia"/>
        </w:rPr>
        <w:t>个项目开展了绩效自评，其中，以填报自评表形式开展自评</w:t>
      </w:r>
      <w:r>
        <w:rPr>
          <w:rFonts w:hint="eastAsia"/>
          <w:lang w:val="en-US" w:eastAsia="zh-CN"/>
        </w:rPr>
        <w:t>30</w:t>
      </w:r>
      <w:r>
        <w:rPr>
          <w:rFonts w:hint="eastAsia"/>
        </w:rPr>
        <w:t>项，涉及资金</w:t>
      </w:r>
      <w:r>
        <w:rPr>
          <w:rFonts w:hint="eastAsia"/>
          <w:lang w:val="en-US" w:eastAsia="zh-CN"/>
        </w:rPr>
        <w:t>1253.65</w:t>
      </w:r>
      <w:r>
        <w:rPr>
          <w:rFonts w:hint="eastAsia"/>
        </w:rPr>
        <w:t>万元。从自评结果来看，项目立项较为规范、绩效目标明确、预算编制合理，项目实施的总体情况较好，基本完成年初设立的绩效目标。</w:t>
      </w:r>
    </w:p>
    <w:p>
      <w:pPr>
        <w:pStyle w:val="5"/>
        <w:bidi w:val="0"/>
        <w:rPr>
          <w:rFonts w:hint="eastAsia"/>
          <w:lang w:val="en-US" w:eastAsia="zh-CN"/>
        </w:rPr>
      </w:pPr>
      <w:r>
        <w:rPr>
          <w:rFonts w:hint="eastAsia"/>
          <w:lang w:val="en-US" w:eastAsia="zh-CN"/>
        </w:rPr>
        <w:t>（二）绩效自评结果</w:t>
      </w:r>
    </w:p>
    <w:p>
      <w:pPr>
        <w:bidi w:val="0"/>
        <w:ind w:firstLine="880"/>
        <w:rPr>
          <w:rFonts w:hint="eastAsia"/>
        </w:rPr>
      </w:pPr>
      <w:r>
        <w:rPr>
          <w:rFonts w:hint="eastAsia"/>
        </w:rPr>
        <w:t>1.绩效目标自评表。</w:t>
      </w:r>
    </w:p>
    <w:p>
      <w:pPr>
        <w:bidi w:val="0"/>
        <w:rPr>
          <w:rFonts w:hint="eastAsia" w:ascii="方正仿宋_GBK" w:hAnsi="方正仿宋_GBK" w:eastAsia="方正仿宋_GBK" w:cs="方正仿宋_GBK"/>
          <w:bCs/>
          <w:sz w:val="32"/>
          <w:szCs w:val="32"/>
          <w:lang w:eastAsia="zh-CN"/>
        </w:rPr>
      </w:pPr>
      <w:r>
        <w:rPr>
          <w:rFonts w:hint="eastAsia"/>
          <w:lang w:eastAsia="zh-CN"/>
        </w:rPr>
        <w:t>详</w:t>
      </w:r>
      <w:r>
        <w:rPr>
          <w:rFonts w:hint="eastAsia"/>
        </w:rPr>
        <w:t>见附件</w:t>
      </w:r>
      <w:r>
        <w:rPr>
          <w:rFonts w:hint="eastAsia"/>
          <w:lang w:val="en-US" w:eastAsia="zh-CN"/>
        </w:rPr>
        <w:t>重庆市铜梁区永嘉镇人民政府（本级）2024年度项目绩效自评表</w:t>
      </w:r>
      <w:r>
        <w:rPr>
          <w:rFonts w:hint="eastAsia"/>
        </w:rPr>
        <w:t>。</w:t>
      </w:r>
      <w:r>
        <w:rPr>
          <w:rFonts w:hint="eastAsia"/>
          <w:lang w:eastAsia="zh-CN"/>
        </w:rPr>
        <w:t>其中，安全维稳项目依上级要求不予公开。</w:t>
      </w:r>
    </w:p>
    <w:p>
      <w:pPr>
        <w:bidi w:val="0"/>
        <w:ind w:firstLine="880"/>
        <w:rPr>
          <w:rFonts w:hint="eastAsia"/>
          <w:lang w:eastAsia="zh-CN"/>
        </w:rPr>
      </w:pPr>
      <w:r>
        <w:rPr>
          <w:rFonts w:hint="eastAsia"/>
          <w:lang w:eastAsia="zh-CN"/>
        </w:rPr>
        <w:t>2.绩效自评报告或案例。</w:t>
      </w:r>
    </w:p>
    <w:p>
      <w:pPr>
        <w:bidi w:val="0"/>
        <w:ind w:firstLine="880"/>
        <w:rPr>
          <w:rFonts w:hint="eastAsia"/>
          <w:lang w:eastAsia="zh-CN"/>
        </w:rPr>
      </w:pPr>
      <w:r>
        <w:rPr>
          <w:rFonts w:hint="eastAsia"/>
          <w:lang w:eastAsia="zh-CN"/>
        </w:rPr>
        <w:t>我单位未委托第三方开展绩效评价。</w:t>
      </w:r>
    </w:p>
    <w:p>
      <w:pPr>
        <w:bidi w:val="0"/>
        <w:ind w:firstLine="880"/>
        <w:rPr>
          <w:rFonts w:hint="eastAsia"/>
          <w:lang w:eastAsia="zh-CN"/>
        </w:rPr>
      </w:pPr>
      <w:r>
        <w:rPr>
          <w:rFonts w:hint="eastAsia"/>
          <w:lang w:eastAsia="zh-CN"/>
        </w:rPr>
        <w:t>3.关于绩效自评结果的说明。</w:t>
      </w:r>
    </w:p>
    <w:p>
      <w:pPr>
        <w:bidi w:val="0"/>
        <w:ind w:firstLine="880"/>
        <w:rPr>
          <w:rFonts w:hint="eastAsia" w:ascii="方正仿宋_GBK" w:hAnsi="方正仿宋_GBK" w:eastAsia="方正仿宋_GBK" w:cs="方正仿宋_GBK"/>
          <w:kern w:val="0"/>
          <w:sz w:val="32"/>
          <w:szCs w:val="32"/>
          <w:shd w:val="clear" w:fill="FFFFFF"/>
        </w:rPr>
      </w:pPr>
      <w:r>
        <w:rPr>
          <w:rFonts w:hint="eastAsia"/>
          <w:lang w:eastAsia="zh-CN"/>
        </w:rPr>
        <w:t>我单位对</w:t>
      </w:r>
      <w:r>
        <w:rPr>
          <w:rFonts w:hint="eastAsia"/>
          <w:lang w:val="en-US" w:eastAsia="zh-CN"/>
        </w:rPr>
        <w:t>30</w:t>
      </w:r>
      <w:r>
        <w:rPr>
          <w:rFonts w:hint="eastAsia"/>
          <w:lang w:eastAsia="zh-CN"/>
        </w:rPr>
        <w:t>个项目进行绩效自评，其中</w:t>
      </w:r>
      <w:r>
        <w:rPr>
          <w:rFonts w:hint="eastAsia"/>
          <w:lang w:val="en-US" w:eastAsia="zh-CN"/>
        </w:rPr>
        <w:t>30</w:t>
      </w:r>
      <w:r>
        <w:rPr>
          <w:rFonts w:hint="eastAsia"/>
          <w:lang w:eastAsia="zh-CN"/>
        </w:rPr>
        <w:t>个已完成年度绩效目标，0个未完成年度绩效目标。</w:t>
      </w:r>
    </w:p>
    <w:p>
      <w:pPr>
        <w:pStyle w:val="5"/>
        <w:bidi w:val="0"/>
        <w:rPr>
          <w:rStyle w:val="12"/>
          <w:rFonts w:hint="default" w:ascii="方正楷体_GBK" w:hAnsi="宋体" w:eastAsia="方正楷体_GBK" w:cs="宋体"/>
          <w:b w:val="0"/>
          <w:kern w:val="0"/>
          <w:sz w:val="32"/>
          <w:szCs w:val="32"/>
          <w:lang w:val="en-US" w:eastAsia="zh-CN" w:bidi="ar-SA"/>
        </w:rPr>
      </w:pPr>
      <w:r>
        <w:rPr>
          <w:rStyle w:val="12"/>
          <w:rFonts w:hint="eastAsia" w:ascii="方正楷体_GBK" w:hAnsi="宋体" w:eastAsia="方正楷体_GBK" w:cs="宋体"/>
          <w:b w:val="0"/>
          <w:kern w:val="0"/>
          <w:sz w:val="32"/>
          <w:szCs w:val="32"/>
          <w:lang w:val="en-US" w:eastAsia="zh-CN" w:bidi="ar-SA"/>
        </w:rPr>
        <w:t xml:space="preserve">（三）财政重点绩效评价情况 </w:t>
      </w:r>
    </w:p>
    <w:p>
      <w:pPr>
        <w:bidi w:val="0"/>
        <w:rPr>
          <w:rFonts w:hint="eastAsia"/>
          <w:lang w:val="en-US" w:eastAsia="zh-CN"/>
        </w:rPr>
      </w:pPr>
      <w:r>
        <w:rPr>
          <w:rFonts w:hint="eastAsia"/>
          <w:lang w:val="en-US" w:eastAsia="zh-CN"/>
        </w:rPr>
        <w:t>我单位无财政重点绩效评价项目。</w:t>
      </w:r>
    </w:p>
    <w:p>
      <w:pPr>
        <w:pStyle w:val="4"/>
        <w:bidi w:val="0"/>
      </w:pPr>
      <w:r>
        <w:rPr>
          <w:rFonts w:hint="eastAsia"/>
        </w:rPr>
        <w:t>六、专业名词解释</w:t>
      </w:r>
    </w:p>
    <w:p>
      <w:pPr>
        <w:bidi w:val="0"/>
        <w:rPr>
          <w:rFonts w:hint="eastAsia"/>
        </w:rPr>
      </w:pPr>
      <w:r>
        <w:rPr>
          <w:rFonts w:hint="eastAsia"/>
          <w:b/>
          <w:bCs/>
        </w:rPr>
        <w:t>（一）财政拨款收入</w:t>
      </w:r>
      <w:r>
        <w:rPr>
          <w:rFonts w:hint="eastAsia"/>
        </w:rPr>
        <w:t>：指本年度从本级财政单位取得的财政拨款，包括一般公共预算财政拨款和政府性基金预算财政拨款。</w:t>
      </w:r>
    </w:p>
    <w:p>
      <w:pPr>
        <w:bidi w:val="0"/>
        <w:rPr>
          <w:rFonts w:hint="eastAsia"/>
        </w:rPr>
      </w:pPr>
      <w:r>
        <w:rPr>
          <w:rFonts w:hint="eastAsia"/>
          <w:b/>
          <w:bCs/>
        </w:rPr>
        <w:t>（二）年初结转和结余</w:t>
      </w:r>
      <w:r>
        <w:rPr>
          <w:rFonts w:hint="eastAsia"/>
        </w:rPr>
        <w:t>：指单位上年结转本年使用的基本支出结转、项目支出结转和结余、经营结余。</w:t>
      </w:r>
    </w:p>
    <w:p>
      <w:pPr>
        <w:bidi w:val="0"/>
        <w:rPr>
          <w:rFonts w:hint="eastAsia"/>
        </w:rPr>
      </w:pPr>
      <w:r>
        <w:rPr>
          <w:rFonts w:hint="eastAsia"/>
          <w:b/>
          <w:bCs/>
        </w:rPr>
        <w:t>（三）年末结转和结余</w:t>
      </w:r>
      <w:r>
        <w:rPr>
          <w:rFonts w:hint="eastAsia"/>
        </w:rPr>
        <w:t>：指单位结转下年的基本支出结转、项目支出结转和结余、经营结余。</w:t>
      </w:r>
    </w:p>
    <w:p>
      <w:pPr>
        <w:bidi w:val="0"/>
        <w:rPr>
          <w:rFonts w:hint="eastAsia"/>
        </w:rPr>
      </w:pPr>
      <w:r>
        <w:rPr>
          <w:rFonts w:hint="eastAsia"/>
          <w:b/>
          <w:bCs/>
        </w:rPr>
        <w:t>（四）基本支出：</w:t>
      </w:r>
      <w:r>
        <w:rPr>
          <w:rFonts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bidi w:val="0"/>
        <w:rPr>
          <w:rFonts w:hint="eastAsia"/>
        </w:rPr>
      </w:pPr>
      <w:r>
        <w:rPr>
          <w:rFonts w:hint="eastAsia"/>
          <w:b/>
          <w:bCs/>
        </w:rPr>
        <w:t>（五）项目支出：</w:t>
      </w:r>
      <w:r>
        <w:rPr>
          <w:rFonts w:hint="eastAsia"/>
        </w:rPr>
        <w:t>指在基本支出之外为完成特定行政任务和事业发展目标所发生的支出。</w:t>
      </w:r>
    </w:p>
    <w:p>
      <w:pPr>
        <w:bidi w:val="0"/>
        <w:rPr>
          <w:rFonts w:hint="eastAsia"/>
        </w:rPr>
      </w:pPr>
      <w:r>
        <w:rPr>
          <w:rFonts w:hint="eastAsia"/>
          <w:b/>
          <w:bCs/>
        </w:rPr>
        <w:t>（六）“三公”经费</w:t>
      </w:r>
      <w:r>
        <w:rPr>
          <w:rFonts w:hint="eastAsi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bidi w:val="0"/>
        <w:rPr>
          <w:rFonts w:hint="eastAsia"/>
        </w:rPr>
      </w:pPr>
      <w:r>
        <w:rPr>
          <w:rFonts w:hint="eastAsia"/>
          <w:b/>
          <w:bCs/>
        </w:rPr>
        <w:t>（七）机关运行经费：</w:t>
      </w:r>
      <w:r>
        <w:rPr>
          <w:rFonts w:hint="eastAsi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bidi w:val="0"/>
        <w:rPr>
          <w:rFonts w:hint="eastAsia"/>
        </w:rPr>
      </w:pPr>
      <w:r>
        <w:rPr>
          <w:rFonts w:hint="eastAsia"/>
          <w:b/>
          <w:bCs/>
        </w:rPr>
        <w:t>（八）工资福利支出（支出经济分类科目类级）：</w:t>
      </w:r>
      <w:r>
        <w:rPr>
          <w:rFonts w:hint="eastAsia"/>
        </w:rPr>
        <w:t>反映单位开支的在职职工和编制外长期聘用人员的各类劳动报酬，以及为上述人员缴纳的各项社会保险费等。</w:t>
      </w:r>
    </w:p>
    <w:p>
      <w:pPr>
        <w:bidi w:val="0"/>
        <w:rPr>
          <w:rFonts w:hint="eastAsia"/>
        </w:rPr>
      </w:pPr>
      <w:r>
        <w:rPr>
          <w:rFonts w:hint="eastAsia"/>
          <w:b/>
          <w:bCs/>
        </w:rPr>
        <w:t>（九）商品和服务支出（支出经济分类科目类级）：</w:t>
      </w:r>
      <w:r>
        <w:rPr>
          <w:rFonts w:hint="eastAsia"/>
        </w:rPr>
        <w:t>反映单位购买商品和服务的支出（不包括用于购置固定资产的支出、战略性和应急储备支出）。</w:t>
      </w:r>
    </w:p>
    <w:p>
      <w:pPr>
        <w:bidi w:val="0"/>
        <w:rPr>
          <w:rFonts w:hint="eastAsia"/>
        </w:rPr>
      </w:pPr>
      <w:r>
        <w:rPr>
          <w:rFonts w:hint="eastAsia"/>
          <w:b/>
          <w:bCs/>
        </w:rPr>
        <w:t>（十）对个人和家庭的补助（支出经济分类科目类级）：</w:t>
      </w:r>
      <w:r>
        <w:rPr>
          <w:rFonts w:hint="eastAsia"/>
        </w:rPr>
        <w:t>反映用于对个人和家庭的补助支出。</w:t>
      </w:r>
    </w:p>
    <w:p>
      <w:pPr>
        <w:bidi w:val="0"/>
      </w:pPr>
      <w:r>
        <w:rPr>
          <w:rFonts w:hint="eastAsia"/>
          <w:b/>
          <w:bCs/>
        </w:rPr>
        <w:t>（十一）其他资本性支出（支出经济分类科目类级）：</w:t>
      </w:r>
      <w:r>
        <w:rPr>
          <w:rFonts w:hint="eastAsia"/>
        </w:rPr>
        <w:t>反映非各级发展与改革单位集中安排的用于购置固定资产、战略性和应急性储备、土地和无形资产，以及构建基础设施、大型修缮和财政支持企业更新改造所发生的支出</w:t>
      </w:r>
      <w:r>
        <w:rPr>
          <w:rFonts w:hint="eastAsia" w:ascii="方正仿宋_GBK" w:hAnsi="方正仿宋_GBK" w:eastAsia="方正仿宋_GBK" w:cs="方正仿宋_GBK"/>
          <w:kern w:val="2"/>
          <w:szCs w:val="32"/>
        </w:rPr>
        <w:t>。</w:t>
      </w:r>
    </w:p>
    <w:p>
      <w:pPr>
        <w:pStyle w:val="4"/>
        <w:bidi w:val="0"/>
      </w:pPr>
      <w:r>
        <w:rPr>
          <w:rFonts w:hint="eastAsia"/>
        </w:rPr>
        <w:t>七、决算公开联系方式及信息反馈渠道</w:t>
      </w:r>
    </w:p>
    <w:p>
      <w:pPr>
        <w:bidi w:val="0"/>
        <w:rPr>
          <w:rFonts w:hint="eastAsia"/>
          <w:lang w:val="en-US" w:eastAsia="zh-CN"/>
        </w:rPr>
      </w:pPr>
      <w:r>
        <w:rPr>
          <w:rFonts w:hint="eastAsia"/>
        </w:rPr>
        <w:t>本单位决算公开信息反馈和联系方式：</w:t>
      </w:r>
      <w:r>
        <w:rPr>
          <w:rFonts w:hint="eastAsia"/>
          <w:lang w:eastAsia="zh-CN"/>
        </w:rPr>
        <w:t>吕进</w:t>
      </w:r>
      <w:r>
        <w:rPr>
          <w:rFonts w:hint="eastAsia"/>
        </w:rPr>
        <w:t>023-45399007</w:t>
      </w:r>
    </w:p>
    <w:sectPr>
      <w:headerReference r:id="rId5" w:type="default"/>
      <w:footerReference r:id="rId6" w:type="default"/>
      <w:pgSz w:w="11850" w:h="16783"/>
      <w:pgMar w:top="2098" w:right="1474" w:bottom="1984" w:left="1587" w:header="0" w:footer="283"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E21033"/>
    <w:rsid w:val="00FE7556"/>
    <w:rsid w:val="01474EBF"/>
    <w:rsid w:val="01F3521E"/>
    <w:rsid w:val="03E3214F"/>
    <w:rsid w:val="04446191"/>
    <w:rsid w:val="044C50BA"/>
    <w:rsid w:val="05B51FD8"/>
    <w:rsid w:val="06A2550B"/>
    <w:rsid w:val="06F80EE2"/>
    <w:rsid w:val="07001CCA"/>
    <w:rsid w:val="075678DB"/>
    <w:rsid w:val="08051BCA"/>
    <w:rsid w:val="08887FC5"/>
    <w:rsid w:val="08B84F60"/>
    <w:rsid w:val="08BA052C"/>
    <w:rsid w:val="08DB07BA"/>
    <w:rsid w:val="096803DD"/>
    <w:rsid w:val="098305D0"/>
    <w:rsid w:val="09B07E13"/>
    <w:rsid w:val="09B72B6E"/>
    <w:rsid w:val="0A3851D8"/>
    <w:rsid w:val="0A5C4B69"/>
    <w:rsid w:val="0AEC3BC7"/>
    <w:rsid w:val="0B9335CE"/>
    <w:rsid w:val="0C7927C4"/>
    <w:rsid w:val="0C9B098C"/>
    <w:rsid w:val="0D11728C"/>
    <w:rsid w:val="0D673E11"/>
    <w:rsid w:val="0DB50EFE"/>
    <w:rsid w:val="0DDA54E4"/>
    <w:rsid w:val="0E3A5F83"/>
    <w:rsid w:val="0E982EC2"/>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232C0"/>
    <w:rsid w:val="148E377E"/>
    <w:rsid w:val="1580711B"/>
    <w:rsid w:val="189B0D0B"/>
    <w:rsid w:val="194A1770"/>
    <w:rsid w:val="196B6467"/>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39015B"/>
    <w:rsid w:val="27B23302"/>
    <w:rsid w:val="29310A5F"/>
    <w:rsid w:val="29C37A35"/>
    <w:rsid w:val="29C95E09"/>
    <w:rsid w:val="2A076083"/>
    <w:rsid w:val="2A73162E"/>
    <w:rsid w:val="2B167953"/>
    <w:rsid w:val="2B200583"/>
    <w:rsid w:val="2B8209DE"/>
    <w:rsid w:val="2C161D32"/>
    <w:rsid w:val="2C2D3EC7"/>
    <w:rsid w:val="2C6762A3"/>
    <w:rsid w:val="2D8D2A49"/>
    <w:rsid w:val="2EC71295"/>
    <w:rsid w:val="2FDC238B"/>
    <w:rsid w:val="2FE029D7"/>
    <w:rsid w:val="2FF06E00"/>
    <w:rsid w:val="315D199F"/>
    <w:rsid w:val="315F0B22"/>
    <w:rsid w:val="31D84415"/>
    <w:rsid w:val="32285F6F"/>
    <w:rsid w:val="32770556"/>
    <w:rsid w:val="32833BE5"/>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E9D6316"/>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850607"/>
    <w:rsid w:val="44A854C2"/>
    <w:rsid w:val="44DD597D"/>
    <w:rsid w:val="465B470D"/>
    <w:rsid w:val="469D6AD4"/>
    <w:rsid w:val="46FC41C7"/>
    <w:rsid w:val="47674801"/>
    <w:rsid w:val="48225EF7"/>
    <w:rsid w:val="495C4A24"/>
    <w:rsid w:val="4AD70EE7"/>
    <w:rsid w:val="4ADD343C"/>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78F7051"/>
    <w:rsid w:val="692172FD"/>
    <w:rsid w:val="6A3829EE"/>
    <w:rsid w:val="6B077612"/>
    <w:rsid w:val="6B474EF5"/>
    <w:rsid w:val="6C560CAE"/>
    <w:rsid w:val="6D0615E4"/>
    <w:rsid w:val="6D903FF5"/>
    <w:rsid w:val="6DA955B8"/>
    <w:rsid w:val="6DE346AB"/>
    <w:rsid w:val="6F7F6A2D"/>
    <w:rsid w:val="6FB442D1"/>
    <w:rsid w:val="6FFB2E76"/>
    <w:rsid w:val="70A359EC"/>
    <w:rsid w:val="71C34D91"/>
    <w:rsid w:val="71ED38AA"/>
    <w:rsid w:val="720229AA"/>
    <w:rsid w:val="72103688"/>
    <w:rsid w:val="72DB435C"/>
    <w:rsid w:val="72F86AD3"/>
    <w:rsid w:val="73323A75"/>
    <w:rsid w:val="750837F0"/>
    <w:rsid w:val="764F62AB"/>
    <w:rsid w:val="765C45EC"/>
    <w:rsid w:val="768A7619"/>
    <w:rsid w:val="76E14979"/>
    <w:rsid w:val="77EA362A"/>
    <w:rsid w:val="77FD3782"/>
    <w:rsid w:val="7875383E"/>
    <w:rsid w:val="796D60A4"/>
    <w:rsid w:val="79A031D5"/>
    <w:rsid w:val="7A1525F7"/>
    <w:rsid w:val="7A3E6CB6"/>
    <w:rsid w:val="7A680D2D"/>
    <w:rsid w:val="7A974CBB"/>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spacing w:line="560" w:lineRule="exact"/>
      <w:ind w:firstLine="880" w:firstLineChars="200"/>
    </w:pPr>
    <w:rPr>
      <w:rFonts w:hint="eastAsia" w:ascii="方正仿宋_GBK" w:hAnsi="方正仿宋_GBK" w:eastAsia="方正仿宋_GBK" w:cs="Times New Roman"/>
      <w:sz w:val="32"/>
      <w:szCs w:val="24"/>
      <w:lang w:val="en-US" w:eastAsia="zh-CN" w:bidi="ar-SA"/>
    </w:rPr>
  </w:style>
  <w:style w:type="paragraph" w:styleId="2">
    <w:name w:val="heading 1"/>
    <w:basedOn w:val="3"/>
    <w:next w:val="1"/>
    <w:qFormat/>
    <w:uiPriority w:val="0"/>
    <w:pPr>
      <w:keepNext/>
      <w:keepLines/>
      <w:spacing w:before="340" w:beforeLines="0" w:beforeAutospacing="0" w:after="330" w:afterLines="0" w:afterAutospacing="0" w:line="560" w:lineRule="exact"/>
      <w:outlineLvl w:val="0"/>
    </w:pPr>
    <w:rPr>
      <w:rFonts w:ascii="Arial" w:hAnsi="Arial" w:eastAsia="方正小标宋_GBK"/>
      <w:b w:val="0"/>
      <w:kern w:val="44"/>
      <w:sz w:val="44"/>
    </w:rPr>
  </w:style>
  <w:style w:type="paragraph" w:styleId="4">
    <w:name w:val="heading 2"/>
    <w:basedOn w:val="1"/>
    <w:next w:val="1"/>
    <w:unhideWhenUsed/>
    <w:qFormat/>
    <w:uiPriority w:val="0"/>
    <w:pPr>
      <w:keepNext/>
      <w:keepLines/>
      <w:spacing w:before="50" w:beforeLines="50" w:beforeAutospacing="0" w:after="50" w:afterLines="50" w:afterAutospacing="0" w:line="560" w:lineRule="exact"/>
      <w:ind w:firstLine="880" w:firstLineChars="200"/>
      <w:outlineLvl w:val="1"/>
    </w:pPr>
    <w:rPr>
      <w:rFonts w:ascii="Arial" w:hAnsi="Arial" w:eastAsia="方正黑体_GBK"/>
      <w:sz w:val="32"/>
    </w:rPr>
  </w:style>
  <w:style w:type="paragraph" w:styleId="5">
    <w:name w:val="heading 3"/>
    <w:basedOn w:val="1"/>
    <w:next w:val="1"/>
    <w:unhideWhenUsed/>
    <w:qFormat/>
    <w:uiPriority w:val="0"/>
    <w:pPr>
      <w:keepNext/>
      <w:keepLines/>
      <w:spacing w:before="50" w:beforeLines="50" w:beforeAutospacing="0" w:after="50" w:afterLines="50" w:afterAutospacing="0" w:line="560" w:lineRule="exact"/>
      <w:ind w:firstLine="880" w:firstLineChars="200"/>
      <w:outlineLvl w:val="2"/>
    </w:pPr>
    <w:rPr>
      <w:rFonts w:eastAsia="方正楷体_GBK"/>
      <w:sz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2">
    <w:name w:val="Strong"/>
    <w:basedOn w:val="11"/>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basedOn w:val="11"/>
    <w:qFormat/>
    <w:uiPriority w:val="0"/>
    <w:rPr>
      <w:rFonts w:hint="default" w:ascii="Wingdings" w:hAnsi="Wingdings" w:cs="Wingdings"/>
      <w:b/>
      <w:bCs/>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7</TotalTime>
  <ScaleCrop>false</ScaleCrop>
  <LinksUpToDate>false</LinksUpToDate>
  <CharactersWithSpaces>21460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2025-11-20T03:11:37Z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9EDAFD8FD9424A54844071572B3E9A06_13</vt:lpwstr>
  </property>
</Properties>
</file>