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contextualSpacing/>
      </w:pPr>
      <w:bookmarkStart w:id="87" w:name="_GoBack"/>
      <w:bookmarkEnd w:id="87"/>
      <w:r>
        <w:rPr>
          <w:rFonts w:hint="eastAsia"/>
        </w:rPr>
        <w:t>目录</w:t>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"_Toc19642558" </w:instrText>
      </w:r>
      <w:r>
        <w:fldChar w:fldCharType="separate"/>
      </w:r>
      <w:r>
        <w:rPr>
          <w:rStyle w:val="31"/>
          <w:rFonts w:hint="eastAsia"/>
        </w:rPr>
        <w:t>一.</w:t>
      </w:r>
      <w:r>
        <w:rPr>
          <w:rFonts w:asciiTheme="minorHAnsi" w:hAnsiTheme="minorHAnsi" w:eastAsiaTheme="minorEastAsia" w:cstheme="minorBidi"/>
          <w:sz w:val="21"/>
          <w:szCs w:val="22"/>
        </w:rPr>
        <w:tab/>
      </w:r>
      <w:r>
        <w:rPr>
          <w:rStyle w:val="31"/>
          <w:rFonts w:hint="eastAsia"/>
        </w:rPr>
        <w:t>前言</w:t>
      </w:r>
      <w:r>
        <w:tab/>
      </w:r>
      <w:r>
        <w:fldChar w:fldCharType="begin"/>
      </w:r>
      <w:r>
        <w:instrText xml:space="preserve"> PAGEREF _Toc19642558 \h </w:instrText>
      </w:r>
      <w:r>
        <w:fldChar w:fldCharType="separate"/>
      </w:r>
      <w:r>
        <w:t>1</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"_Toc19642559" </w:instrText>
      </w:r>
      <w:r>
        <w:fldChar w:fldCharType="separate"/>
      </w:r>
      <w:r>
        <w:rPr>
          <w:rStyle w:val="31"/>
          <w:rFonts w:hint="eastAsia"/>
        </w:rPr>
        <w:t>二.</w:t>
      </w:r>
      <w:r>
        <w:rPr>
          <w:rFonts w:asciiTheme="minorHAnsi" w:hAnsiTheme="minorHAnsi" w:eastAsiaTheme="minorEastAsia" w:cstheme="minorBidi"/>
          <w:sz w:val="21"/>
          <w:szCs w:val="22"/>
        </w:rPr>
        <w:tab/>
      </w:r>
      <w:r>
        <w:rPr>
          <w:rStyle w:val="31"/>
          <w:rFonts w:hint="eastAsia"/>
        </w:rPr>
        <w:t>总则</w:t>
      </w:r>
      <w:r>
        <w:tab/>
      </w:r>
      <w:r>
        <w:fldChar w:fldCharType="begin"/>
      </w:r>
      <w:r>
        <w:instrText xml:space="preserve"> PAGEREF _Toc19642559 \h </w:instrText>
      </w:r>
      <w:r>
        <w:fldChar w:fldCharType="separate"/>
      </w:r>
      <w:r>
        <w:t>3</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"_Toc19642560" </w:instrText>
      </w:r>
      <w:r>
        <w:fldChar w:fldCharType="separate"/>
      </w:r>
      <w:r>
        <w:rPr>
          <w:rStyle w:val="31"/>
        </w:rPr>
        <w:t>2.1</w:t>
      </w:r>
      <w:r>
        <w:rPr>
          <w:rFonts w:asciiTheme="minorHAnsi" w:hAnsiTheme="minorHAnsi" w:eastAsiaTheme="minorEastAsia" w:cstheme="minorBidi"/>
          <w:sz w:val="21"/>
          <w:szCs w:val="22"/>
        </w:rPr>
        <w:tab/>
      </w:r>
      <w:r>
        <w:rPr>
          <w:rStyle w:val="31"/>
          <w:rFonts w:hint="eastAsia"/>
        </w:rPr>
        <w:t>规划范围与年限</w:t>
      </w:r>
      <w:r>
        <w:tab/>
      </w:r>
      <w:r>
        <w:fldChar w:fldCharType="begin"/>
      </w:r>
      <w:r>
        <w:instrText xml:space="preserve"> PAGEREF _Toc19642560 \h </w:instrText>
      </w:r>
      <w:r>
        <w:fldChar w:fldCharType="separate"/>
      </w:r>
      <w:r>
        <w:t>3</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"_Toc19642561" </w:instrText>
      </w:r>
      <w:r>
        <w:fldChar w:fldCharType="separate"/>
      </w:r>
      <w:r>
        <w:rPr>
          <w:rStyle w:val="31"/>
        </w:rPr>
        <w:t>2.1.1</w:t>
      </w:r>
      <w:r>
        <w:rPr>
          <w:rFonts w:asciiTheme="minorHAnsi" w:hAnsiTheme="minorHAnsi" w:eastAsiaTheme="minorEastAsia" w:cstheme="minorBidi"/>
          <w:sz w:val="21"/>
          <w:szCs w:val="22"/>
        </w:rPr>
        <w:tab/>
      </w:r>
      <w:r>
        <w:rPr>
          <w:rStyle w:val="31"/>
          <w:rFonts w:hint="eastAsia"/>
        </w:rPr>
        <w:t>规划范围及内容</w:t>
      </w:r>
      <w:r>
        <w:tab/>
      </w:r>
      <w:r>
        <w:fldChar w:fldCharType="begin"/>
      </w:r>
      <w:r>
        <w:instrText xml:space="preserve"> PAGEREF _Toc19642561 \h </w:instrText>
      </w:r>
      <w:r>
        <w:fldChar w:fldCharType="separate"/>
      </w:r>
      <w:r>
        <w:t>3</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"_Toc19642562" </w:instrText>
      </w:r>
      <w:r>
        <w:fldChar w:fldCharType="separate"/>
      </w:r>
      <w:r>
        <w:rPr>
          <w:rStyle w:val="31"/>
        </w:rPr>
        <w:t>2.1.2</w:t>
      </w:r>
      <w:r>
        <w:rPr>
          <w:rFonts w:asciiTheme="minorHAnsi" w:hAnsiTheme="minorHAnsi" w:eastAsiaTheme="minorEastAsia" w:cstheme="minorBidi"/>
          <w:sz w:val="21"/>
          <w:szCs w:val="22"/>
        </w:rPr>
        <w:tab/>
      </w:r>
      <w:r>
        <w:rPr>
          <w:rStyle w:val="31"/>
          <w:rFonts w:hint="eastAsia"/>
        </w:rPr>
        <w:t>规划年限</w:t>
      </w:r>
      <w:r>
        <w:tab/>
      </w:r>
      <w:r>
        <w:fldChar w:fldCharType="begin"/>
      </w:r>
      <w:r>
        <w:instrText xml:space="preserve"> PAGEREF _Toc19642562 \h </w:instrText>
      </w:r>
      <w:r>
        <w:fldChar w:fldCharType="separate"/>
      </w:r>
      <w:r>
        <w:t>3</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"_Toc19642563" </w:instrText>
      </w:r>
      <w:r>
        <w:fldChar w:fldCharType="separate"/>
      </w:r>
      <w:r>
        <w:rPr>
          <w:rStyle w:val="31"/>
        </w:rPr>
        <w:t>2.2</w:t>
      </w:r>
      <w:r>
        <w:rPr>
          <w:rFonts w:asciiTheme="minorHAnsi" w:hAnsiTheme="minorHAnsi" w:eastAsiaTheme="minorEastAsia" w:cstheme="minorBidi"/>
          <w:sz w:val="21"/>
          <w:szCs w:val="22"/>
        </w:rPr>
        <w:tab/>
      </w:r>
      <w:r>
        <w:rPr>
          <w:rStyle w:val="31"/>
          <w:rFonts w:hint="eastAsia"/>
        </w:rPr>
        <w:t>规划依据</w:t>
      </w:r>
      <w:r>
        <w:tab/>
      </w:r>
      <w:r>
        <w:fldChar w:fldCharType="begin"/>
      </w:r>
      <w:r>
        <w:instrText xml:space="preserve"> PAGEREF _Toc19642563 \h </w:instrText>
      </w:r>
      <w:r>
        <w:fldChar w:fldCharType="separate"/>
      </w:r>
      <w:r>
        <w:t>3</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"_Toc19642564" </w:instrText>
      </w:r>
      <w:r>
        <w:fldChar w:fldCharType="separate"/>
      </w:r>
      <w:r>
        <w:rPr>
          <w:rStyle w:val="31"/>
        </w:rPr>
        <w:t>2.3</w:t>
      </w:r>
      <w:r>
        <w:rPr>
          <w:rFonts w:asciiTheme="minorHAnsi" w:hAnsiTheme="minorHAnsi" w:eastAsiaTheme="minorEastAsia" w:cstheme="minorBidi"/>
          <w:sz w:val="21"/>
          <w:szCs w:val="22"/>
        </w:rPr>
        <w:tab/>
      </w:r>
      <w:r>
        <w:rPr>
          <w:rStyle w:val="31"/>
          <w:rFonts w:hint="eastAsia"/>
        </w:rPr>
        <w:t>规划目标</w:t>
      </w:r>
      <w:r>
        <w:tab/>
      </w:r>
      <w:r>
        <w:fldChar w:fldCharType="begin"/>
      </w:r>
      <w:r>
        <w:instrText xml:space="preserve"> PAGEREF _Toc19642564 \h </w:instrText>
      </w:r>
      <w:r>
        <w:fldChar w:fldCharType="separate"/>
      </w:r>
      <w:r>
        <w:t>5</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"_Toc19642565" </w:instrText>
      </w:r>
      <w:r>
        <w:fldChar w:fldCharType="separate"/>
      </w:r>
      <w:r>
        <w:rPr>
          <w:rStyle w:val="31"/>
        </w:rPr>
        <w:t>2.4</w:t>
      </w:r>
      <w:r>
        <w:rPr>
          <w:rFonts w:asciiTheme="minorHAnsi" w:hAnsiTheme="minorHAnsi" w:eastAsiaTheme="minorEastAsia" w:cstheme="minorBidi"/>
          <w:sz w:val="21"/>
          <w:szCs w:val="22"/>
        </w:rPr>
        <w:tab/>
      </w:r>
      <w:r>
        <w:rPr>
          <w:rStyle w:val="31"/>
          <w:rFonts w:hint="eastAsia"/>
        </w:rPr>
        <w:t>指导原则</w:t>
      </w:r>
      <w:r>
        <w:tab/>
      </w:r>
      <w:r>
        <w:fldChar w:fldCharType="begin"/>
      </w:r>
      <w:r>
        <w:instrText xml:space="preserve"> PAGEREF _Toc19642565 \h </w:instrText>
      </w:r>
      <w:r>
        <w:fldChar w:fldCharType="separate"/>
      </w:r>
      <w:r>
        <w:t>6</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"_Toc19642566" </w:instrText>
      </w:r>
      <w:r>
        <w:fldChar w:fldCharType="separate"/>
      </w:r>
      <w:r>
        <w:rPr>
          <w:rStyle w:val="31"/>
        </w:rPr>
        <w:t>2.5</w:t>
      </w:r>
      <w:r>
        <w:rPr>
          <w:rFonts w:asciiTheme="minorHAnsi" w:hAnsiTheme="minorHAnsi" w:eastAsiaTheme="minorEastAsia" w:cstheme="minorBidi"/>
          <w:sz w:val="21"/>
          <w:szCs w:val="22"/>
        </w:rPr>
        <w:tab/>
      </w:r>
      <w:r>
        <w:rPr>
          <w:rStyle w:val="31"/>
          <w:rFonts w:hint="eastAsia"/>
        </w:rPr>
        <w:t>规划思路</w:t>
      </w:r>
      <w:r>
        <w:tab/>
      </w:r>
      <w:r>
        <w:fldChar w:fldCharType="begin"/>
      </w:r>
      <w:r>
        <w:instrText xml:space="preserve"> PAGEREF _Toc19642566 \h </w:instrText>
      </w:r>
      <w:r>
        <w:fldChar w:fldCharType="separate"/>
      </w:r>
      <w:r>
        <w:t>6</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"_Toc19642567" </w:instrText>
      </w:r>
      <w:r>
        <w:fldChar w:fldCharType="separate"/>
      </w:r>
      <w:r>
        <w:rPr>
          <w:rStyle w:val="31"/>
        </w:rPr>
        <w:t>2.5.1</w:t>
      </w:r>
      <w:r>
        <w:rPr>
          <w:rFonts w:asciiTheme="minorHAnsi" w:hAnsiTheme="minorHAnsi" w:eastAsiaTheme="minorEastAsia" w:cstheme="minorBidi"/>
          <w:sz w:val="21"/>
          <w:szCs w:val="22"/>
        </w:rPr>
        <w:tab/>
      </w:r>
      <w:r>
        <w:rPr>
          <w:rStyle w:val="31"/>
          <w:rFonts w:hint="eastAsia"/>
        </w:rPr>
        <w:t>面向政府建立对接机制</w:t>
      </w:r>
      <w:r>
        <w:tab/>
      </w:r>
      <w:r>
        <w:fldChar w:fldCharType="begin"/>
      </w:r>
      <w:r>
        <w:instrText xml:space="preserve"> PAGEREF _Toc19642567 \h </w:instrText>
      </w:r>
      <w:r>
        <w:fldChar w:fldCharType="separate"/>
      </w:r>
      <w:r>
        <w:t>6</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"_Toc19642568" </w:instrText>
      </w:r>
      <w:r>
        <w:fldChar w:fldCharType="separate"/>
      </w:r>
      <w:r>
        <w:rPr>
          <w:rStyle w:val="31"/>
        </w:rPr>
        <w:t>2.5.2</w:t>
      </w:r>
      <w:r>
        <w:rPr>
          <w:rFonts w:asciiTheme="minorHAnsi" w:hAnsiTheme="minorHAnsi" w:eastAsiaTheme="minorEastAsia" w:cstheme="minorBidi"/>
          <w:sz w:val="21"/>
          <w:szCs w:val="22"/>
        </w:rPr>
        <w:tab/>
      </w:r>
      <w:r>
        <w:rPr>
          <w:rStyle w:val="31"/>
          <w:rFonts w:hint="eastAsia"/>
        </w:rPr>
        <w:t>面向电信企业建立对接机制</w:t>
      </w:r>
      <w:r>
        <w:tab/>
      </w:r>
      <w:r>
        <w:fldChar w:fldCharType="begin"/>
      </w:r>
      <w:r>
        <w:instrText xml:space="preserve"> PAGEREF _Toc19642568 \h </w:instrText>
      </w:r>
      <w:r>
        <w:fldChar w:fldCharType="separate"/>
      </w:r>
      <w:r>
        <w:t>7</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"_Toc19642569" </w:instrText>
      </w:r>
      <w:r>
        <w:fldChar w:fldCharType="separate"/>
      </w:r>
      <w:r>
        <w:rPr>
          <w:rStyle w:val="31"/>
        </w:rPr>
        <w:t>2.5.3</w:t>
      </w:r>
      <w:r>
        <w:rPr>
          <w:rFonts w:asciiTheme="minorHAnsi" w:hAnsiTheme="minorHAnsi" w:eastAsiaTheme="minorEastAsia" w:cstheme="minorBidi"/>
          <w:sz w:val="21"/>
          <w:szCs w:val="22"/>
        </w:rPr>
        <w:tab/>
      </w:r>
      <w:r>
        <w:rPr>
          <w:rStyle w:val="31"/>
          <w:rFonts w:hint="eastAsia"/>
        </w:rPr>
        <w:t>站址规划</w:t>
      </w:r>
      <w:r>
        <w:tab/>
      </w:r>
      <w:r>
        <w:fldChar w:fldCharType="begin"/>
      </w:r>
      <w:r>
        <w:instrText xml:space="preserve"> PAGEREF _Toc19642569 \h </w:instrText>
      </w:r>
      <w:r>
        <w:fldChar w:fldCharType="separate"/>
      </w:r>
      <w:r>
        <w:t>7</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"_Toc19642570" </w:instrText>
      </w:r>
      <w:r>
        <w:fldChar w:fldCharType="separate"/>
      </w:r>
      <w:r>
        <w:rPr>
          <w:rStyle w:val="31"/>
        </w:rPr>
        <w:t>2.5.4</w:t>
      </w:r>
      <w:r>
        <w:rPr>
          <w:rFonts w:asciiTheme="minorHAnsi" w:hAnsiTheme="minorHAnsi" w:eastAsiaTheme="minorEastAsia" w:cstheme="minorBidi"/>
          <w:sz w:val="21"/>
          <w:szCs w:val="22"/>
        </w:rPr>
        <w:tab/>
      </w:r>
      <w:r>
        <w:rPr>
          <w:rStyle w:val="31"/>
          <w:rFonts w:hint="eastAsia"/>
        </w:rPr>
        <w:t>组织实施</w:t>
      </w:r>
      <w:r>
        <w:tab/>
      </w:r>
      <w:r>
        <w:fldChar w:fldCharType="begin"/>
      </w:r>
      <w:r>
        <w:instrText xml:space="preserve"> PAGEREF _Toc19642570 \h </w:instrText>
      </w:r>
      <w:r>
        <w:fldChar w:fldCharType="separate"/>
      </w:r>
      <w:r>
        <w:t>8</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"_Toc19642571" </w:instrText>
      </w:r>
      <w:r>
        <w:fldChar w:fldCharType="separate"/>
      </w:r>
      <w:r>
        <w:rPr>
          <w:rStyle w:val="31"/>
          <w:rFonts w:hint="eastAsia"/>
        </w:rPr>
        <w:t>三.</w:t>
      </w:r>
      <w:r>
        <w:rPr>
          <w:rFonts w:asciiTheme="minorHAnsi" w:hAnsiTheme="minorHAnsi" w:eastAsiaTheme="minorEastAsia" w:cstheme="minorBidi"/>
          <w:sz w:val="21"/>
          <w:szCs w:val="22"/>
        </w:rPr>
        <w:tab/>
      </w:r>
      <w:r>
        <w:rPr>
          <w:rStyle w:val="31"/>
          <w:rFonts w:hint="eastAsia"/>
        </w:rPr>
        <w:t>铜梁区城市规划范围</w:t>
      </w:r>
      <w:r>
        <w:tab/>
      </w:r>
      <w:r>
        <w:fldChar w:fldCharType="begin"/>
      </w:r>
      <w:r>
        <w:instrText xml:space="preserve"> PAGEREF _Toc19642571 \h </w:instrText>
      </w:r>
      <w:r>
        <w:fldChar w:fldCharType="separate"/>
      </w:r>
      <w:r>
        <w:t>9</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"_Toc19642572" </w:instrText>
      </w:r>
      <w:r>
        <w:fldChar w:fldCharType="separate"/>
      </w:r>
      <w:r>
        <w:rPr>
          <w:rStyle w:val="31"/>
        </w:rPr>
        <w:t>3.1</w:t>
      </w:r>
      <w:r>
        <w:rPr>
          <w:rFonts w:asciiTheme="minorHAnsi" w:hAnsiTheme="minorHAnsi" w:eastAsiaTheme="minorEastAsia" w:cstheme="minorBidi"/>
          <w:sz w:val="21"/>
          <w:szCs w:val="22"/>
        </w:rPr>
        <w:tab/>
      </w:r>
      <w:r>
        <w:rPr>
          <w:rStyle w:val="31"/>
          <w:rFonts w:hint="eastAsia"/>
        </w:rPr>
        <w:t>规划范围</w:t>
      </w:r>
      <w:r>
        <w:tab/>
      </w:r>
      <w:r>
        <w:fldChar w:fldCharType="begin"/>
      </w:r>
      <w:r>
        <w:instrText xml:space="preserve"> PAGEREF _Toc19642572 \h </w:instrText>
      </w:r>
      <w:r>
        <w:fldChar w:fldCharType="separate"/>
      </w:r>
      <w:r>
        <w:t>9</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"_Toc19642573" </w:instrText>
      </w:r>
      <w:r>
        <w:fldChar w:fldCharType="separate"/>
      </w:r>
      <w:r>
        <w:rPr>
          <w:rStyle w:val="31"/>
        </w:rPr>
        <w:t>3.2</w:t>
      </w:r>
      <w:r>
        <w:rPr>
          <w:rFonts w:asciiTheme="minorHAnsi" w:hAnsiTheme="minorHAnsi" w:eastAsiaTheme="minorEastAsia" w:cstheme="minorBidi"/>
          <w:sz w:val="21"/>
          <w:szCs w:val="22"/>
        </w:rPr>
        <w:tab/>
      </w:r>
      <w:r>
        <w:rPr>
          <w:rStyle w:val="31"/>
          <w:rFonts w:hint="eastAsia"/>
        </w:rPr>
        <w:t>铜梁区城市总体规划</w:t>
      </w:r>
      <w:r>
        <w:tab/>
      </w:r>
      <w:r>
        <w:fldChar w:fldCharType="begin"/>
      </w:r>
      <w:r>
        <w:instrText xml:space="preserve"> PAGEREF _Toc19642573 \h </w:instrText>
      </w:r>
      <w:r>
        <w:fldChar w:fldCharType="separate"/>
      </w:r>
      <w:r>
        <w:t>10</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"_Toc19642574" </w:instrText>
      </w:r>
      <w:r>
        <w:fldChar w:fldCharType="separate"/>
      </w:r>
      <w:r>
        <w:rPr>
          <w:rStyle w:val="31"/>
          <w:rFonts w:hint="eastAsia"/>
        </w:rPr>
        <w:t>四.</w:t>
      </w:r>
      <w:r>
        <w:rPr>
          <w:rFonts w:asciiTheme="minorHAnsi" w:hAnsiTheme="minorHAnsi" w:eastAsiaTheme="minorEastAsia" w:cstheme="minorBidi"/>
          <w:sz w:val="21"/>
          <w:szCs w:val="22"/>
        </w:rPr>
        <w:tab/>
      </w:r>
      <w:r>
        <w:rPr>
          <w:rStyle w:val="31"/>
          <w:rFonts w:hint="eastAsia"/>
        </w:rPr>
        <w:t>铜梁区通信基础设施分析</w:t>
      </w:r>
      <w:r>
        <w:tab/>
      </w:r>
      <w:r>
        <w:fldChar w:fldCharType="begin"/>
      </w:r>
      <w:r>
        <w:instrText xml:space="preserve"> PAGEREF _Toc19642574 \h </w:instrText>
      </w:r>
      <w:r>
        <w:fldChar w:fldCharType="separate"/>
      </w:r>
      <w:r>
        <w:t>12</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"_Toc19642575" </w:instrText>
      </w:r>
      <w:r>
        <w:fldChar w:fldCharType="separate"/>
      </w:r>
      <w:r>
        <w:rPr>
          <w:rStyle w:val="31"/>
        </w:rPr>
        <w:t>4.1</w:t>
      </w:r>
      <w:r>
        <w:rPr>
          <w:rFonts w:asciiTheme="minorHAnsi" w:hAnsiTheme="minorHAnsi" w:eastAsiaTheme="minorEastAsia" w:cstheme="minorBidi"/>
          <w:sz w:val="21"/>
          <w:szCs w:val="22"/>
        </w:rPr>
        <w:tab/>
      </w:r>
      <w:r>
        <w:rPr>
          <w:rStyle w:val="31"/>
          <w:rFonts w:hint="eastAsia"/>
        </w:rPr>
        <w:t>铜梁区通信业务发展现状</w:t>
      </w:r>
      <w:r>
        <w:tab/>
      </w:r>
      <w:r>
        <w:fldChar w:fldCharType="begin"/>
      </w:r>
      <w:r>
        <w:instrText xml:space="preserve"> PAGEREF _Toc19642575 \h </w:instrText>
      </w:r>
      <w:r>
        <w:fldChar w:fldCharType="separate"/>
      </w:r>
      <w:r>
        <w:t>12</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"_Toc19642576" </w:instrText>
      </w:r>
      <w:r>
        <w:fldChar w:fldCharType="separate"/>
      </w:r>
      <w:r>
        <w:rPr>
          <w:rStyle w:val="31"/>
        </w:rPr>
        <w:t>4.2</w:t>
      </w:r>
      <w:r>
        <w:rPr>
          <w:rFonts w:asciiTheme="minorHAnsi" w:hAnsiTheme="minorHAnsi" w:eastAsiaTheme="minorEastAsia" w:cstheme="minorBidi"/>
          <w:sz w:val="21"/>
          <w:szCs w:val="22"/>
        </w:rPr>
        <w:tab/>
      </w:r>
      <w:r>
        <w:rPr>
          <w:rStyle w:val="31"/>
          <w:rFonts w:hint="eastAsia"/>
        </w:rPr>
        <w:t>铜梁区通信网络基站现状</w:t>
      </w:r>
      <w:r>
        <w:tab/>
      </w:r>
      <w:r>
        <w:fldChar w:fldCharType="begin"/>
      </w:r>
      <w:r>
        <w:instrText xml:space="preserve"> PAGEREF _Toc19642576 \h </w:instrText>
      </w:r>
      <w:r>
        <w:fldChar w:fldCharType="separate"/>
      </w:r>
      <w:r>
        <w:t>12</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"_Toc19642577" </w:instrText>
      </w:r>
      <w:r>
        <w:fldChar w:fldCharType="separate"/>
      </w:r>
      <w:r>
        <w:rPr>
          <w:rStyle w:val="31"/>
        </w:rPr>
        <w:t>4.3</w:t>
      </w:r>
      <w:r>
        <w:rPr>
          <w:rFonts w:asciiTheme="minorHAnsi" w:hAnsiTheme="minorHAnsi" w:eastAsiaTheme="minorEastAsia" w:cstheme="minorBidi"/>
          <w:sz w:val="21"/>
          <w:szCs w:val="22"/>
        </w:rPr>
        <w:tab/>
      </w:r>
      <w:r>
        <w:rPr>
          <w:rStyle w:val="31"/>
          <w:rFonts w:hint="eastAsia"/>
        </w:rPr>
        <w:t>铜梁区通信基础网络存在问题</w:t>
      </w:r>
      <w:r>
        <w:tab/>
      </w:r>
      <w:r>
        <w:fldChar w:fldCharType="begin"/>
      </w:r>
      <w:r>
        <w:instrText xml:space="preserve"> PAGEREF _Toc19642577 \h </w:instrText>
      </w:r>
      <w:r>
        <w:fldChar w:fldCharType="separate"/>
      </w:r>
      <w:r>
        <w:t>13</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"_Toc19642578" </w:instrText>
      </w:r>
      <w:r>
        <w:fldChar w:fldCharType="separate"/>
      </w:r>
      <w:r>
        <w:rPr>
          <w:rStyle w:val="31"/>
        </w:rPr>
        <w:t>4.4</w:t>
      </w:r>
      <w:r>
        <w:rPr>
          <w:rFonts w:asciiTheme="minorHAnsi" w:hAnsiTheme="minorHAnsi" w:eastAsiaTheme="minorEastAsia" w:cstheme="minorBidi"/>
          <w:sz w:val="21"/>
          <w:szCs w:val="22"/>
        </w:rPr>
        <w:tab/>
      </w:r>
      <w:r>
        <w:rPr>
          <w:rStyle w:val="31"/>
          <w:rFonts w:hint="eastAsia"/>
        </w:rPr>
        <w:t>运营商基础网络</w:t>
      </w:r>
      <w:r>
        <w:rPr>
          <w:rStyle w:val="31"/>
        </w:rPr>
        <w:t>4G</w:t>
      </w:r>
      <w:r>
        <w:rPr>
          <w:rStyle w:val="31"/>
          <w:rFonts w:hint="eastAsia"/>
        </w:rPr>
        <w:t>、</w:t>
      </w:r>
      <w:r>
        <w:rPr>
          <w:rStyle w:val="31"/>
        </w:rPr>
        <w:t>5G</w:t>
      </w:r>
      <w:r>
        <w:rPr>
          <w:rStyle w:val="31"/>
          <w:rFonts w:hint="eastAsia"/>
        </w:rPr>
        <w:t>发展思路及建设节奏</w:t>
      </w:r>
      <w:r>
        <w:tab/>
      </w:r>
      <w:r>
        <w:fldChar w:fldCharType="begin"/>
      </w:r>
      <w:r>
        <w:instrText xml:space="preserve"> PAGEREF _Toc19642578 \h </w:instrText>
      </w:r>
      <w:r>
        <w:fldChar w:fldCharType="separate"/>
      </w:r>
      <w:r>
        <w:t>14</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"_Toc19642579" </w:instrText>
      </w:r>
      <w:r>
        <w:fldChar w:fldCharType="separate"/>
      </w:r>
      <w:r>
        <w:rPr>
          <w:rStyle w:val="31"/>
          <w:rFonts w:hint="eastAsia"/>
        </w:rPr>
        <w:t>五.</w:t>
      </w:r>
      <w:r>
        <w:rPr>
          <w:rFonts w:asciiTheme="minorHAnsi" w:hAnsiTheme="minorHAnsi" w:eastAsiaTheme="minorEastAsia" w:cstheme="minorBidi"/>
          <w:sz w:val="21"/>
          <w:szCs w:val="22"/>
        </w:rPr>
        <w:tab/>
      </w:r>
      <w:r>
        <w:rPr>
          <w:rStyle w:val="31"/>
          <w:rFonts w:hint="eastAsia"/>
        </w:rPr>
        <w:t>通信业务需求预测</w:t>
      </w:r>
      <w:r>
        <w:tab/>
      </w:r>
      <w:r>
        <w:fldChar w:fldCharType="begin"/>
      </w:r>
      <w:r>
        <w:instrText xml:space="preserve"> PAGEREF _Toc19642579 \h </w:instrText>
      </w:r>
      <w:r>
        <w:fldChar w:fldCharType="separate"/>
      </w:r>
      <w:r>
        <w:t>16</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"_Toc19642580" </w:instrText>
      </w:r>
      <w:r>
        <w:fldChar w:fldCharType="separate"/>
      </w:r>
      <w:r>
        <w:rPr>
          <w:rStyle w:val="31"/>
        </w:rPr>
        <w:t>5.1</w:t>
      </w:r>
      <w:r>
        <w:rPr>
          <w:rFonts w:asciiTheme="minorHAnsi" w:hAnsiTheme="minorHAnsi" w:eastAsiaTheme="minorEastAsia" w:cstheme="minorBidi"/>
          <w:sz w:val="21"/>
          <w:szCs w:val="22"/>
        </w:rPr>
        <w:tab/>
      </w:r>
      <w:r>
        <w:rPr>
          <w:rStyle w:val="31"/>
          <w:rFonts w:hint="eastAsia"/>
        </w:rPr>
        <w:t>预测基本思路</w:t>
      </w:r>
      <w:r>
        <w:tab/>
      </w:r>
      <w:r>
        <w:fldChar w:fldCharType="begin"/>
      </w:r>
      <w:r>
        <w:instrText xml:space="preserve"> PAGEREF _Toc19642580 \h </w:instrText>
      </w:r>
      <w:r>
        <w:fldChar w:fldCharType="separate"/>
      </w:r>
      <w:r>
        <w:t>16</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"_Toc19642581" </w:instrText>
      </w:r>
      <w:r>
        <w:fldChar w:fldCharType="separate"/>
      </w:r>
      <w:r>
        <w:rPr>
          <w:rStyle w:val="31"/>
        </w:rPr>
        <w:t>5.2</w:t>
      </w:r>
      <w:r>
        <w:rPr>
          <w:rFonts w:asciiTheme="minorHAnsi" w:hAnsiTheme="minorHAnsi" w:eastAsiaTheme="minorEastAsia" w:cstheme="minorBidi"/>
          <w:sz w:val="21"/>
          <w:szCs w:val="22"/>
        </w:rPr>
        <w:tab/>
      </w:r>
      <w:r>
        <w:rPr>
          <w:rStyle w:val="31"/>
          <w:rFonts w:hint="eastAsia"/>
        </w:rPr>
        <w:t>频段分配</w:t>
      </w:r>
      <w:r>
        <w:tab/>
      </w:r>
      <w:r>
        <w:fldChar w:fldCharType="begin"/>
      </w:r>
      <w:r>
        <w:instrText xml:space="preserve"> PAGEREF _Toc19642581 \h </w:instrText>
      </w:r>
      <w:r>
        <w:fldChar w:fldCharType="separate"/>
      </w:r>
      <w:r>
        <w:t>16</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"_Toc19642582" </w:instrText>
      </w:r>
      <w:r>
        <w:fldChar w:fldCharType="separate"/>
      </w:r>
      <w:r>
        <w:rPr>
          <w:rStyle w:val="31"/>
        </w:rPr>
        <w:t>5.3</w:t>
      </w:r>
      <w:r>
        <w:rPr>
          <w:rFonts w:asciiTheme="minorHAnsi" w:hAnsiTheme="minorHAnsi" w:eastAsiaTheme="minorEastAsia" w:cstheme="minorBidi"/>
          <w:sz w:val="21"/>
          <w:szCs w:val="22"/>
        </w:rPr>
        <w:tab/>
      </w:r>
      <w:r>
        <w:rPr>
          <w:rStyle w:val="31"/>
          <w:rFonts w:hint="eastAsia"/>
        </w:rPr>
        <w:t>用户感知目标</w:t>
      </w:r>
      <w:r>
        <w:tab/>
      </w:r>
      <w:r>
        <w:fldChar w:fldCharType="begin"/>
      </w:r>
      <w:r>
        <w:instrText xml:space="preserve"> PAGEREF _Toc19642582 \h </w:instrText>
      </w:r>
      <w:r>
        <w:fldChar w:fldCharType="separate"/>
      </w:r>
      <w:r>
        <w:t>17</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"_Toc19642583" </w:instrText>
      </w:r>
      <w:r>
        <w:fldChar w:fldCharType="separate"/>
      </w:r>
      <w:r>
        <w:rPr>
          <w:rStyle w:val="31"/>
          <w:rFonts w:hint="eastAsia"/>
        </w:rPr>
        <w:t>六.</w:t>
      </w:r>
      <w:r>
        <w:rPr>
          <w:rFonts w:asciiTheme="minorHAnsi" w:hAnsiTheme="minorHAnsi" w:eastAsiaTheme="minorEastAsia" w:cstheme="minorBidi"/>
          <w:sz w:val="21"/>
          <w:szCs w:val="22"/>
        </w:rPr>
        <w:tab/>
      </w:r>
      <w:r>
        <w:rPr>
          <w:rStyle w:val="31"/>
          <w:rFonts w:hint="eastAsia"/>
        </w:rPr>
        <w:t>通信设施规划</w:t>
      </w:r>
      <w:r>
        <w:tab/>
      </w:r>
      <w:r>
        <w:fldChar w:fldCharType="begin"/>
      </w:r>
      <w:r>
        <w:instrText xml:space="preserve"> PAGEREF _Toc19642583 \h </w:instrText>
      </w:r>
      <w:r>
        <w:fldChar w:fldCharType="separate"/>
      </w:r>
      <w:r>
        <w:t>19</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"_Toc19642584" </w:instrText>
      </w:r>
      <w:r>
        <w:fldChar w:fldCharType="separate"/>
      </w:r>
      <w:r>
        <w:rPr>
          <w:rStyle w:val="31"/>
        </w:rPr>
        <w:t>6.1</w:t>
      </w:r>
      <w:r>
        <w:rPr>
          <w:rFonts w:asciiTheme="minorHAnsi" w:hAnsiTheme="minorHAnsi" w:eastAsiaTheme="minorEastAsia" w:cstheme="minorBidi"/>
          <w:sz w:val="21"/>
          <w:szCs w:val="22"/>
        </w:rPr>
        <w:tab/>
      </w:r>
      <w:r>
        <w:rPr>
          <w:rStyle w:val="31"/>
          <w:rFonts w:hint="eastAsia"/>
        </w:rPr>
        <w:t>通信基站规划</w:t>
      </w:r>
      <w:r>
        <w:tab/>
      </w:r>
      <w:r>
        <w:fldChar w:fldCharType="begin"/>
      </w:r>
      <w:r>
        <w:instrText xml:space="preserve"> PAGEREF _Toc19642584 \h </w:instrText>
      </w:r>
      <w:r>
        <w:fldChar w:fldCharType="separate"/>
      </w:r>
      <w:r>
        <w:t>19</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"_Toc19642585" </w:instrText>
      </w:r>
      <w:r>
        <w:fldChar w:fldCharType="separate"/>
      </w:r>
      <w:r>
        <w:rPr>
          <w:rStyle w:val="31"/>
        </w:rPr>
        <w:t>6.1.1</w:t>
      </w:r>
      <w:r>
        <w:rPr>
          <w:rFonts w:asciiTheme="minorHAnsi" w:hAnsiTheme="minorHAnsi" w:eastAsiaTheme="minorEastAsia" w:cstheme="minorBidi"/>
          <w:sz w:val="21"/>
          <w:szCs w:val="22"/>
        </w:rPr>
        <w:tab/>
      </w:r>
      <w:r>
        <w:rPr>
          <w:rStyle w:val="31"/>
          <w:rFonts w:hint="eastAsia"/>
        </w:rPr>
        <w:t>移动通信系统及其分析</w:t>
      </w:r>
      <w:r>
        <w:tab/>
      </w:r>
      <w:r>
        <w:fldChar w:fldCharType="begin"/>
      </w:r>
      <w:r>
        <w:instrText xml:space="preserve"> PAGEREF _Toc19642585 \h </w:instrText>
      </w:r>
      <w:r>
        <w:fldChar w:fldCharType="separate"/>
      </w:r>
      <w:r>
        <w:t>19</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"_Toc19642586" </w:instrText>
      </w:r>
      <w:r>
        <w:fldChar w:fldCharType="separate"/>
      </w:r>
      <w:r>
        <w:rPr>
          <w:rStyle w:val="31"/>
        </w:rPr>
        <w:t>6.1.2</w:t>
      </w:r>
      <w:r>
        <w:rPr>
          <w:rFonts w:asciiTheme="minorHAnsi" w:hAnsiTheme="minorHAnsi" w:eastAsiaTheme="minorEastAsia" w:cstheme="minorBidi"/>
          <w:sz w:val="21"/>
          <w:szCs w:val="22"/>
        </w:rPr>
        <w:tab/>
      </w:r>
      <w:r>
        <w:rPr>
          <w:rStyle w:val="31"/>
          <w:rFonts w:hint="eastAsia"/>
        </w:rPr>
        <w:t>规划思路</w:t>
      </w:r>
      <w:r>
        <w:tab/>
      </w:r>
      <w:r>
        <w:fldChar w:fldCharType="begin"/>
      </w:r>
      <w:r>
        <w:instrText xml:space="preserve"> PAGEREF _Toc19642586 \h </w:instrText>
      </w:r>
      <w:r>
        <w:fldChar w:fldCharType="separate"/>
      </w:r>
      <w:r>
        <w:t>20</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"_Toc19642587" </w:instrText>
      </w:r>
      <w:r>
        <w:fldChar w:fldCharType="separate"/>
      </w:r>
      <w:r>
        <w:rPr>
          <w:rStyle w:val="31"/>
        </w:rPr>
        <w:t>6.1.3</w:t>
      </w:r>
      <w:r>
        <w:rPr>
          <w:rFonts w:asciiTheme="minorHAnsi" w:hAnsiTheme="minorHAnsi" w:eastAsiaTheme="minorEastAsia" w:cstheme="minorBidi"/>
          <w:sz w:val="21"/>
          <w:szCs w:val="22"/>
        </w:rPr>
        <w:tab/>
      </w:r>
      <w:r>
        <w:rPr>
          <w:rStyle w:val="31"/>
          <w:rFonts w:hint="eastAsia"/>
        </w:rPr>
        <w:t>规划原则</w:t>
      </w:r>
      <w:r>
        <w:tab/>
      </w:r>
      <w:r>
        <w:fldChar w:fldCharType="begin"/>
      </w:r>
      <w:r>
        <w:instrText xml:space="preserve"> PAGEREF _Toc19642587 \h </w:instrText>
      </w:r>
      <w:r>
        <w:fldChar w:fldCharType="separate"/>
      </w:r>
      <w:r>
        <w:t>21</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"_Toc19642588" </w:instrText>
      </w:r>
      <w:r>
        <w:fldChar w:fldCharType="separate"/>
      </w:r>
      <w:r>
        <w:rPr>
          <w:rStyle w:val="31"/>
        </w:rPr>
        <w:t>6.1.4</w:t>
      </w:r>
      <w:r>
        <w:rPr>
          <w:rFonts w:asciiTheme="minorHAnsi" w:hAnsiTheme="minorHAnsi" w:eastAsiaTheme="minorEastAsia" w:cstheme="minorBidi"/>
          <w:sz w:val="21"/>
          <w:szCs w:val="22"/>
        </w:rPr>
        <w:tab/>
      </w:r>
      <w:r>
        <w:rPr>
          <w:rStyle w:val="31"/>
          <w:rFonts w:hint="eastAsia"/>
        </w:rPr>
        <w:t>规划策略</w:t>
      </w:r>
      <w:r>
        <w:tab/>
      </w:r>
      <w:r>
        <w:fldChar w:fldCharType="begin"/>
      </w:r>
      <w:r>
        <w:instrText xml:space="preserve"> PAGEREF _Toc19642588 \h </w:instrText>
      </w:r>
      <w:r>
        <w:fldChar w:fldCharType="separate"/>
      </w:r>
      <w:r>
        <w:t>22</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"_Toc19642589" </w:instrText>
      </w:r>
      <w:r>
        <w:fldChar w:fldCharType="separate"/>
      </w:r>
      <w:r>
        <w:rPr>
          <w:rStyle w:val="31"/>
          <w:rFonts w:asciiTheme="minorEastAsia" w:hAnsiTheme="minorEastAsia"/>
        </w:rPr>
        <w:t>6.1.5</w:t>
      </w:r>
      <w:r>
        <w:rPr>
          <w:rFonts w:asciiTheme="minorHAnsi" w:hAnsiTheme="minorHAnsi" w:eastAsiaTheme="minorEastAsia" w:cstheme="minorBidi"/>
          <w:sz w:val="21"/>
          <w:szCs w:val="22"/>
        </w:rPr>
        <w:tab/>
      </w:r>
      <w:r>
        <w:rPr>
          <w:rStyle w:val="31"/>
          <w:rFonts w:hint="eastAsia" w:eastAsiaTheme="minorEastAsia"/>
          <w:lang w:val="en-US" w:eastAsia="zh-CN"/>
        </w:rPr>
        <w:t>室内分布</w:t>
      </w:r>
      <w:r>
        <w:rPr>
          <w:rStyle w:val="31"/>
          <w:rFonts w:hint="eastAsia"/>
        </w:rPr>
        <w:t>规划</w:t>
      </w:r>
      <w:r>
        <w:tab/>
      </w:r>
      <w:r>
        <w:fldChar w:fldCharType="begin"/>
      </w:r>
      <w:r>
        <w:instrText xml:space="preserve"> PAGEREF _Toc19642589 \h </w:instrText>
      </w:r>
      <w:r>
        <w:fldChar w:fldCharType="separate"/>
      </w:r>
      <w:r>
        <w:t>26</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"_Toc19642590" </w:instrText>
      </w:r>
      <w:r>
        <w:fldChar w:fldCharType="separate"/>
      </w:r>
      <w:r>
        <w:rPr>
          <w:rStyle w:val="31"/>
        </w:rPr>
        <w:t>6.1.6</w:t>
      </w:r>
      <w:r>
        <w:rPr>
          <w:rFonts w:asciiTheme="minorHAnsi" w:hAnsiTheme="minorHAnsi" w:eastAsiaTheme="minorEastAsia" w:cstheme="minorBidi"/>
          <w:sz w:val="21"/>
          <w:szCs w:val="22"/>
        </w:rPr>
        <w:tab/>
      </w:r>
      <w:r>
        <w:rPr>
          <w:rStyle w:val="31"/>
          <w:rFonts w:hint="eastAsia"/>
        </w:rPr>
        <w:t>基站集约化建设规划</w:t>
      </w:r>
      <w:r>
        <w:tab/>
      </w:r>
      <w:r>
        <w:fldChar w:fldCharType="begin"/>
      </w:r>
      <w:r>
        <w:instrText xml:space="preserve"> PAGEREF _Toc19642590 \h </w:instrText>
      </w:r>
      <w:r>
        <w:fldChar w:fldCharType="separate"/>
      </w:r>
      <w:r>
        <w:t>27</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"_Toc19642591" </w:instrText>
      </w:r>
      <w:r>
        <w:fldChar w:fldCharType="separate"/>
      </w:r>
      <w:r>
        <w:rPr>
          <w:rStyle w:val="31"/>
        </w:rPr>
        <w:t>6.1.7</w:t>
      </w:r>
      <w:r>
        <w:rPr>
          <w:rFonts w:asciiTheme="minorHAnsi" w:hAnsiTheme="minorHAnsi" w:eastAsiaTheme="minorEastAsia" w:cstheme="minorBidi"/>
          <w:sz w:val="21"/>
          <w:szCs w:val="22"/>
        </w:rPr>
        <w:tab/>
      </w:r>
      <w:r>
        <w:rPr>
          <w:rStyle w:val="31"/>
          <w:rFonts w:hint="eastAsia"/>
        </w:rPr>
        <w:t>基站建设管理实施措施</w:t>
      </w:r>
      <w:r>
        <w:tab/>
      </w:r>
      <w:r>
        <w:fldChar w:fldCharType="begin"/>
      </w:r>
      <w:r>
        <w:instrText xml:space="preserve"> PAGEREF _Toc19642591 \h </w:instrText>
      </w:r>
      <w:r>
        <w:fldChar w:fldCharType="separate"/>
      </w:r>
      <w:r>
        <w:t>28</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"_Toc19642592" </w:instrText>
      </w:r>
      <w:r>
        <w:fldChar w:fldCharType="separate"/>
      </w:r>
      <w:r>
        <w:rPr>
          <w:rStyle w:val="31"/>
        </w:rPr>
        <w:t>6.1.8</w:t>
      </w:r>
      <w:r>
        <w:rPr>
          <w:rFonts w:asciiTheme="minorHAnsi" w:hAnsiTheme="minorHAnsi" w:eastAsiaTheme="minorEastAsia" w:cstheme="minorBidi"/>
          <w:sz w:val="21"/>
          <w:szCs w:val="22"/>
        </w:rPr>
        <w:tab/>
      </w:r>
      <w:r>
        <w:rPr>
          <w:rStyle w:val="31"/>
          <w:rFonts w:hint="eastAsia"/>
        </w:rPr>
        <w:t>基站配套需求</w:t>
      </w:r>
      <w:r>
        <w:tab/>
      </w:r>
      <w:r>
        <w:fldChar w:fldCharType="begin"/>
      </w:r>
      <w:r>
        <w:instrText xml:space="preserve"> PAGEREF _Toc19642592 \h </w:instrText>
      </w:r>
      <w:r>
        <w:fldChar w:fldCharType="separate"/>
      </w:r>
      <w:r>
        <w:t>28</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"_Toc19642593" </w:instrText>
      </w:r>
      <w:r>
        <w:fldChar w:fldCharType="separate"/>
      </w:r>
      <w:r>
        <w:rPr>
          <w:rStyle w:val="31"/>
        </w:rPr>
        <w:t>6.1.9</w:t>
      </w:r>
      <w:r>
        <w:rPr>
          <w:rFonts w:asciiTheme="minorHAnsi" w:hAnsiTheme="minorHAnsi" w:eastAsiaTheme="minorEastAsia" w:cstheme="minorBidi"/>
          <w:sz w:val="21"/>
          <w:szCs w:val="22"/>
        </w:rPr>
        <w:tab/>
      </w:r>
      <w:r>
        <w:rPr>
          <w:rStyle w:val="31"/>
          <w:rFonts w:hint="eastAsia"/>
        </w:rPr>
        <w:t>基站规划成果</w:t>
      </w:r>
      <w:r>
        <w:tab/>
      </w:r>
      <w:r>
        <w:fldChar w:fldCharType="begin"/>
      </w:r>
      <w:r>
        <w:instrText xml:space="preserve"> PAGEREF _Toc19642593 \h </w:instrText>
      </w:r>
      <w:r>
        <w:fldChar w:fldCharType="separate"/>
      </w:r>
      <w:r>
        <w:t>29</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"_Toc19642594" </w:instrText>
      </w:r>
      <w:r>
        <w:fldChar w:fldCharType="separate"/>
      </w:r>
      <w:r>
        <w:rPr>
          <w:rStyle w:val="31"/>
        </w:rPr>
        <w:t>6.1.10</w:t>
      </w:r>
      <w:r>
        <w:rPr>
          <w:rFonts w:asciiTheme="minorHAnsi" w:hAnsiTheme="minorHAnsi" w:eastAsiaTheme="minorEastAsia" w:cstheme="minorBidi"/>
          <w:sz w:val="21"/>
          <w:szCs w:val="22"/>
        </w:rPr>
        <w:tab/>
      </w:r>
      <w:r>
        <w:rPr>
          <w:rStyle w:val="31"/>
          <w:rFonts w:hint="eastAsia" w:eastAsiaTheme="minorEastAsia"/>
          <w:lang w:val="en-US" w:eastAsia="zh-CN"/>
        </w:rPr>
        <w:t>室内分布</w:t>
      </w:r>
      <w:r>
        <w:rPr>
          <w:rStyle w:val="31"/>
          <w:rFonts w:hint="eastAsia"/>
        </w:rPr>
        <w:t>规划成果</w:t>
      </w:r>
      <w:r>
        <w:tab/>
      </w:r>
      <w:r>
        <w:fldChar w:fldCharType="begin"/>
      </w:r>
      <w:r>
        <w:instrText xml:space="preserve"> PAGEREF _Toc19642594 \h </w:instrText>
      </w:r>
      <w:r>
        <w:fldChar w:fldCharType="separate"/>
      </w:r>
      <w:r>
        <w:t>31</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"_Toc19642595" </w:instrText>
      </w:r>
      <w:r>
        <w:fldChar w:fldCharType="separate"/>
      </w:r>
      <w:r>
        <w:rPr>
          <w:rStyle w:val="31"/>
        </w:rPr>
        <w:t>6.2</w:t>
      </w:r>
      <w:r>
        <w:rPr>
          <w:rFonts w:asciiTheme="minorHAnsi" w:hAnsiTheme="minorHAnsi" w:eastAsiaTheme="minorEastAsia" w:cstheme="minorBidi"/>
          <w:sz w:val="21"/>
          <w:szCs w:val="22"/>
        </w:rPr>
        <w:tab/>
      </w:r>
      <w:r>
        <w:rPr>
          <w:rStyle w:val="31"/>
          <w:rFonts w:hint="eastAsia"/>
        </w:rPr>
        <w:t>通信局房规划</w:t>
      </w:r>
      <w:r>
        <w:tab/>
      </w:r>
      <w:r>
        <w:fldChar w:fldCharType="begin"/>
      </w:r>
      <w:r>
        <w:instrText xml:space="preserve"> PAGEREF _Toc19642595 \h </w:instrText>
      </w:r>
      <w:r>
        <w:fldChar w:fldCharType="separate"/>
      </w:r>
      <w:r>
        <w:t>32</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"_Toc19642596" </w:instrText>
      </w:r>
      <w:r>
        <w:fldChar w:fldCharType="separate"/>
      </w:r>
      <w:r>
        <w:rPr>
          <w:rStyle w:val="31"/>
        </w:rPr>
        <w:t>6.2.1</w:t>
      </w:r>
      <w:r>
        <w:rPr>
          <w:rFonts w:asciiTheme="minorHAnsi" w:hAnsiTheme="minorHAnsi" w:eastAsiaTheme="minorEastAsia" w:cstheme="minorBidi"/>
          <w:sz w:val="21"/>
          <w:szCs w:val="22"/>
        </w:rPr>
        <w:tab/>
      </w:r>
      <w:r>
        <w:rPr>
          <w:rStyle w:val="31"/>
          <w:rFonts w:hint="eastAsia"/>
        </w:rPr>
        <w:t>通信局房规划方法</w:t>
      </w:r>
      <w:r>
        <w:tab/>
      </w:r>
      <w:r>
        <w:fldChar w:fldCharType="begin"/>
      </w:r>
      <w:r>
        <w:instrText xml:space="preserve"> PAGEREF _Toc19642596 \h </w:instrText>
      </w:r>
      <w:r>
        <w:fldChar w:fldCharType="separate"/>
      </w:r>
      <w:r>
        <w:t>32</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"_Toc19642597" </w:instrText>
      </w:r>
      <w:r>
        <w:fldChar w:fldCharType="separate"/>
      </w:r>
      <w:r>
        <w:rPr>
          <w:rStyle w:val="31"/>
        </w:rPr>
        <w:t>6.2.2</w:t>
      </w:r>
      <w:r>
        <w:rPr>
          <w:rFonts w:asciiTheme="minorHAnsi" w:hAnsiTheme="minorHAnsi" w:eastAsiaTheme="minorEastAsia" w:cstheme="minorBidi"/>
          <w:sz w:val="21"/>
          <w:szCs w:val="22"/>
        </w:rPr>
        <w:tab/>
      </w:r>
      <w:r>
        <w:rPr>
          <w:rStyle w:val="31"/>
          <w:rFonts w:hint="eastAsia"/>
        </w:rPr>
        <w:t>通信局局房建设原则</w:t>
      </w:r>
      <w:r>
        <w:tab/>
      </w:r>
      <w:r>
        <w:fldChar w:fldCharType="begin"/>
      </w:r>
      <w:r>
        <w:instrText xml:space="preserve"> PAGEREF _Toc19642597 \h </w:instrText>
      </w:r>
      <w:r>
        <w:fldChar w:fldCharType="separate"/>
      </w:r>
      <w:r>
        <w:t>34</w:t>
      </w:r>
      <w:r>
        <w:fldChar w:fldCharType="end"/>
      </w:r>
      <w:r>
        <w:fldChar w:fldCharType="end"/>
      </w:r>
    </w:p>
    <w:p>
      <w:pPr>
        <w:pStyle w:val="14"/>
        <w:spacing w:line="276" w:lineRule="auto"/>
        <w:ind w:left="528"/>
        <w:rPr>
          <w:rFonts w:asciiTheme="minorHAnsi" w:hAnsiTheme="minorHAnsi" w:eastAsiaTheme="minorEastAsia" w:cstheme="minorBidi"/>
          <w:sz w:val="21"/>
          <w:szCs w:val="22"/>
        </w:rPr>
      </w:pPr>
      <w:r>
        <w:fldChar w:fldCharType="begin"/>
      </w:r>
      <w:r>
        <w:instrText xml:space="preserve"> HYPERLINK \l "_Toc19642598" </w:instrText>
      </w:r>
      <w:r>
        <w:fldChar w:fldCharType="separate"/>
      </w:r>
      <w:r>
        <w:rPr>
          <w:rStyle w:val="31"/>
        </w:rPr>
        <w:t>6.2.3</w:t>
      </w:r>
      <w:r>
        <w:rPr>
          <w:rFonts w:asciiTheme="minorHAnsi" w:hAnsiTheme="minorHAnsi" w:eastAsiaTheme="minorEastAsia" w:cstheme="minorBidi"/>
          <w:sz w:val="21"/>
          <w:szCs w:val="22"/>
        </w:rPr>
        <w:tab/>
      </w:r>
      <w:r>
        <w:rPr>
          <w:rStyle w:val="31"/>
          <w:rFonts w:hint="eastAsia"/>
        </w:rPr>
        <w:t>局房规划成果</w:t>
      </w:r>
      <w:r>
        <w:tab/>
      </w:r>
      <w:r>
        <w:fldChar w:fldCharType="begin"/>
      </w:r>
      <w:r>
        <w:instrText xml:space="preserve"> PAGEREF _Toc19642598 \h </w:instrText>
      </w:r>
      <w:r>
        <w:fldChar w:fldCharType="separate"/>
      </w:r>
      <w:r>
        <w:t>35</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"_Toc19642599" </w:instrText>
      </w:r>
      <w:r>
        <w:fldChar w:fldCharType="separate"/>
      </w:r>
      <w:r>
        <w:rPr>
          <w:rStyle w:val="31"/>
          <w:rFonts w:hint="eastAsia"/>
        </w:rPr>
        <w:t>七.</w:t>
      </w:r>
      <w:r>
        <w:rPr>
          <w:rFonts w:asciiTheme="minorHAnsi" w:hAnsiTheme="minorHAnsi" w:eastAsiaTheme="minorEastAsia" w:cstheme="minorBidi"/>
          <w:sz w:val="21"/>
          <w:szCs w:val="22"/>
        </w:rPr>
        <w:tab/>
      </w:r>
      <w:r>
        <w:rPr>
          <w:rStyle w:val="31"/>
          <w:rFonts w:hint="eastAsia"/>
        </w:rPr>
        <w:t>规划投资</w:t>
      </w:r>
      <w:r>
        <w:tab/>
      </w:r>
      <w:r>
        <w:fldChar w:fldCharType="begin"/>
      </w:r>
      <w:r>
        <w:instrText xml:space="preserve"> PAGEREF _Toc19642599 \h </w:instrText>
      </w:r>
      <w:r>
        <w:fldChar w:fldCharType="separate"/>
      </w:r>
      <w:r>
        <w:t>36</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"_Toc19642600" </w:instrText>
      </w:r>
      <w:r>
        <w:fldChar w:fldCharType="separate"/>
      </w:r>
      <w:r>
        <w:rPr>
          <w:rStyle w:val="31"/>
        </w:rPr>
        <w:t>7.1</w:t>
      </w:r>
      <w:r>
        <w:rPr>
          <w:rFonts w:asciiTheme="minorHAnsi" w:hAnsiTheme="minorHAnsi" w:eastAsiaTheme="minorEastAsia" w:cstheme="minorBidi"/>
          <w:sz w:val="21"/>
          <w:szCs w:val="22"/>
        </w:rPr>
        <w:tab/>
      </w:r>
      <w:r>
        <w:rPr>
          <w:rStyle w:val="31"/>
          <w:rFonts w:hint="eastAsia"/>
        </w:rPr>
        <w:t>估算计费依据</w:t>
      </w:r>
      <w:r>
        <w:tab/>
      </w:r>
      <w:r>
        <w:fldChar w:fldCharType="begin"/>
      </w:r>
      <w:r>
        <w:instrText xml:space="preserve"> PAGEREF _Toc19642600 \h </w:instrText>
      </w:r>
      <w:r>
        <w:fldChar w:fldCharType="separate"/>
      </w:r>
      <w:r>
        <w:t>36</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"_Toc19642601" </w:instrText>
      </w:r>
      <w:r>
        <w:fldChar w:fldCharType="separate"/>
      </w:r>
      <w:r>
        <w:rPr>
          <w:rStyle w:val="31"/>
        </w:rPr>
        <w:t>7.2</w:t>
      </w:r>
      <w:r>
        <w:rPr>
          <w:rFonts w:asciiTheme="minorHAnsi" w:hAnsiTheme="minorHAnsi" w:eastAsiaTheme="minorEastAsia" w:cstheme="minorBidi"/>
          <w:sz w:val="21"/>
          <w:szCs w:val="22"/>
        </w:rPr>
        <w:tab/>
      </w:r>
      <w:r>
        <w:rPr>
          <w:rStyle w:val="31"/>
          <w:rFonts w:hint="eastAsia"/>
        </w:rPr>
        <w:t>规划投资估算</w:t>
      </w:r>
      <w:r>
        <w:tab/>
      </w:r>
      <w:r>
        <w:fldChar w:fldCharType="begin"/>
      </w:r>
      <w:r>
        <w:instrText xml:space="preserve"> PAGEREF _Toc19642601 \h </w:instrText>
      </w:r>
      <w:r>
        <w:fldChar w:fldCharType="separate"/>
      </w:r>
      <w:r>
        <w:t>36</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"_Toc19642602" </w:instrText>
      </w:r>
      <w:r>
        <w:fldChar w:fldCharType="separate"/>
      </w:r>
      <w:r>
        <w:rPr>
          <w:rStyle w:val="31"/>
          <w:rFonts w:hint="eastAsia"/>
        </w:rPr>
        <w:t>八.</w:t>
      </w:r>
      <w:r>
        <w:rPr>
          <w:rFonts w:asciiTheme="minorHAnsi" w:hAnsiTheme="minorHAnsi" w:eastAsiaTheme="minorEastAsia" w:cstheme="minorBidi"/>
          <w:sz w:val="21"/>
          <w:szCs w:val="22"/>
        </w:rPr>
        <w:tab/>
      </w:r>
      <w:r>
        <w:rPr>
          <w:rStyle w:val="31"/>
          <w:rFonts w:hint="eastAsia"/>
        </w:rPr>
        <w:t>环境保护</w:t>
      </w:r>
      <w:r>
        <w:tab/>
      </w:r>
      <w:r>
        <w:fldChar w:fldCharType="begin"/>
      </w:r>
      <w:r>
        <w:instrText xml:space="preserve"> PAGEREF _Toc19642602 \h </w:instrText>
      </w:r>
      <w:r>
        <w:fldChar w:fldCharType="separate"/>
      </w:r>
      <w:r>
        <w:t>37</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"_Toc19642603" </w:instrText>
      </w:r>
      <w:r>
        <w:fldChar w:fldCharType="separate"/>
      </w:r>
      <w:r>
        <w:rPr>
          <w:rStyle w:val="31"/>
        </w:rPr>
        <w:t>8.1</w:t>
      </w:r>
      <w:r>
        <w:rPr>
          <w:rFonts w:asciiTheme="minorHAnsi" w:hAnsiTheme="minorHAnsi" w:eastAsiaTheme="minorEastAsia" w:cstheme="minorBidi"/>
          <w:sz w:val="21"/>
          <w:szCs w:val="22"/>
        </w:rPr>
        <w:tab/>
      </w:r>
      <w:r>
        <w:rPr>
          <w:rStyle w:val="31"/>
          <w:rFonts w:hint="eastAsia"/>
        </w:rPr>
        <w:t>电磁辐射</w:t>
      </w:r>
      <w:r>
        <w:tab/>
      </w:r>
      <w:r>
        <w:fldChar w:fldCharType="begin"/>
      </w:r>
      <w:r>
        <w:instrText xml:space="preserve"> PAGEREF _Toc19642603 \h </w:instrText>
      </w:r>
      <w:r>
        <w:fldChar w:fldCharType="separate"/>
      </w:r>
      <w:r>
        <w:t>37</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"_Toc19642604" </w:instrText>
      </w:r>
      <w:r>
        <w:fldChar w:fldCharType="separate"/>
      </w:r>
      <w:r>
        <w:rPr>
          <w:rStyle w:val="31"/>
        </w:rPr>
        <w:t>8.2</w:t>
      </w:r>
      <w:r>
        <w:rPr>
          <w:rFonts w:asciiTheme="minorHAnsi" w:hAnsiTheme="minorHAnsi" w:eastAsiaTheme="minorEastAsia" w:cstheme="minorBidi"/>
          <w:sz w:val="21"/>
          <w:szCs w:val="22"/>
        </w:rPr>
        <w:tab/>
      </w:r>
      <w:r>
        <w:rPr>
          <w:rStyle w:val="31"/>
          <w:rFonts w:hint="eastAsia"/>
        </w:rPr>
        <w:t>生态保护</w:t>
      </w:r>
      <w:r>
        <w:tab/>
      </w:r>
      <w:r>
        <w:fldChar w:fldCharType="begin"/>
      </w:r>
      <w:r>
        <w:instrText xml:space="preserve"> PAGEREF _Toc19642604 \h </w:instrText>
      </w:r>
      <w:r>
        <w:fldChar w:fldCharType="separate"/>
      </w:r>
      <w:r>
        <w:t>37</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"_Toc19642605" </w:instrText>
      </w:r>
      <w:r>
        <w:fldChar w:fldCharType="separate"/>
      </w:r>
      <w:r>
        <w:rPr>
          <w:rStyle w:val="31"/>
        </w:rPr>
        <w:t>8.3</w:t>
      </w:r>
      <w:r>
        <w:rPr>
          <w:rFonts w:asciiTheme="minorHAnsi" w:hAnsiTheme="minorHAnsi" w:eastAsiaTheme="minorEastAsia" w:cstheme="minorBidi"/>
          <w:sz w:val="21"/>
          <w:szCs w:val="22"/>
        </w:rPr>
        <w:tab/>
      </w:r>
      <w:r>
        <w:rPr>
          <w:rStyle w:val="31"/>
          <w:rFonts w:hint="eastAsia"/>
        </w:rPr>
        <w:t>噪声控制</w:t>
      </w:r>
      <w:r>
        <w:tab/>
      </w:r>
      <w:r>
        <w:fldChar w:fldCharType="begin"/>
      </w:r>
      <w:r>
        <w:instrText xml:space="preserve"> PAGEREF _Toc19642605 \h </w:instrText>
      </w:r>
      <w:r>
        <w:fldChar w:fldCharType="separate"/>
      </w:r>
      <w:r>
        <w:t>37</w:t>
      </w:r>
      <w:r>
        <w:fldChar w:fldCharType="end"/>
      </w:r>
      <w:r>
        <w:fldChar w:fldCharType="end"/>
      </w:r>
    </w:p>
    <w:p>
      <w:pPr>
        <w:pStyle w:val="20"/>
        <w:spacing w:before="120" w:after="120" w:line="276" w:lineRule="auto"/>
        <w:rPr>
          <w:rFonts w:asciiTheme="minorHAnsi" w:hAnsiTheme="minorHAnsi" w:eastAsiaTheme="minorEastAsia" w:cstheme="minorBidi"/>
          <w:sz w:val="21"/>
          <w:szCs w:val="22"/>
        </w:rPr>
      </w:pPr>
      <w:r>
        <w:fldChar w:fldCharType="begin"/>
      </w:r>
      <w:r>
        <w:instrText xml:space="preserve"> HYPERLINK \l "_Toc19642606" </w:instrText>
      </w:r>
      <w:r>
        <w:fldChar w:fldCharType="separate"/>
      </w:r>
      <w:r>
        <w:rPr>
          <w:rStyle w:val="31"/>
          <w:rFonts w:hint="eastAsia"/>
        </w:rPr>
        <w:t>九.</w:t>
      </w:r>
      <w:r>
        <w:rPr>
          <w:rFonts w:asciiTheme="minorHAnsi" w:hAnsiTheme="minorHAnsi" w:eastAsiaTheme="minorEastAsia" w:cstheme="minorBidi"/>
          <w:sz w:val="21"/>
          <w:szCs w:val="22"/>
        </w:rPr>
        <w:tab/>
      </w:r>
      <w:r>
        <w:rPr>
          <w:rStyle w:val="31"/>
          <w:rFonts w:hint="eastAsia"/>
        </w:rPr>
        <w:t>规划实施建议</w:t>
      </w:r>
      <w:r>
        <w:tab/>
      </w:r>
      <w:r>
        <w:fldChar w:fldCharType="begin"/>
      </w:r>
      <w:r>
        <w:instrText xml:space="preserve"> PAGEREF _Toc19642606 \h </w:instrText>
      </w:r>
      <w:r>
        <w:fldChar w:fldCharType="separate"/>
      </w:r>
      <w:r>
        <w:t>38</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"_Toc19642607" </w:instrText>
      </w:r>
      <w:r>
        <w:fldChar w:fldCharType="separate"/>
      </w:r>
      <w:r>
        <w:rPr>
          <w:rStyle w:val="31"/>
        </w:rPr>
        <w:t>9.1</w:t>
      </w:r>
      <w:r>
        <w:rPr>
          <w:rFonts w:asciiTheme="minorHAnsi" w:hAnsiTheme="minorHAnsi" w:eastAsiaTheme="minorEastAsia" w:cstheme="minorBidi"/>
          <w:sz w:val="21"/>
          <w:szCs w:val="22"/>
        </w:rPr>
        <w:tab/>
      </w:r>
      <w:r>
        <w:rPr>
          <w:rStyle w:val="31"/>
          <w:rFonts w:hint="eastAsia"/>
        </w:rPr>
        <w:t>加强组织管理保障</w:t>
      </w:r>
      <w:r>
        <w:tab/>
      </w:r>
      <w:r>
        <w:fldChar w:fldCharType="begin"/>
      </w:r>
      <w:r>
        <w:instrText xml:space="preserve"> PAGEREF _Toc19642607 \h </w:instrText>
      </w:r>
      <w:r>
        <w:fldChar w:fldCharType="separate"/>
      </w:r>
      <w:r>
        <w:t>38</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"_Toc19642608" </w:instrText>
      </w:r>
      <w:r>
        <w:fldChar w:fldCharType="separate"/>
      </w:r>
      <w:r>
        <w:rPr>
          <w:rStyle w:val="31"/>
        </w:rPr>
        <w:t>9.2</w:t>
      </w:r>
      <w:r>
        <w:rPr>
          <w:rFonts w:asciiTheme="minorHAnsi" w:hAnsiTheme="minorHAnsi" w:eastAsiaTheme="minorEastAsia" w:cstheme="minorBidi"/>
          <w:sz w:val="21"/>
          <w:szCs w:val="22"/>
        </w:rPr>
        <w:tab/>
      </w:r>
      <w:r>
        <w:rPr>
          <w:rStyle w:val="31"/>
          <w:rFonts w:hint="eastAsia"/>
        </w:rPr>
        <w:t>加大政策扶持力度</w:t>
      </w:r>
      <w:r>
        <w:tab/>
      </w:r>
      <w:r>
        <w:fldChar w:fldCharType="begin"/>
      </w:r>
      <w:r>
        <w:instrText xml:space="preserve"> PAGEREF _Toc19642608 \h </w:instrText>
      </w:r>
      <w:r>
        <w:fldChar w:fldCharType="separate"/>
      </w:r>
      <w:r>
        <w:t>38</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"_Toc19642609" </w:instrText>
      </w:r>
      <w:r>
        <w:fldChar w:fldCharType="separate"/>
      </w:r>
      <w:r>
        <w:rPr>
          <w:rStyle w:val="31"/>
        </w:rPr>
        <w:t>9.3</w:t>
      </w:r>
      <w:r>
        <w:rPr>
          <w:rFonts w:asciiTheme="minorHAnsi" w:hAnsiTheme="minorHAnsi" w:eastAsiaTheme="minorEastAsia" w:cstheme="minorBidi"/>
          <w:sz w:val="21"/>
          <w:szCs w:val="22"/>
        </w:rPr>
        <w:tab/>
      </w:r>
      <w:r>
        <w:rPr>
          <w:rStyle w:val="31"/>
          <w:rFonts w:hint="eastAsia"/>
        </w:rPr>
        <w:t>优化行业发展环境</w:t>
      </w:r>
      <w:r>
        <w:tab/>
      </w:r>
      <w:r>
        <w:fldChar w:fldCharType="begin"/>
      </w:r>
      <w:r>
        <w:instrText xml:space="preserve"> PAGEREF _Toc19642609 \h </w:instrText>
      </w:r>
      <w:r>
        <w:fldChar w:fldCharType="separate"/>
      </w:r>
      <w:r>
        <w:t>39</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"_Toc19642610" </w:instrText>
      </w:r>
      <w:r>
        <w:fldChar w:fldCharType="separate"/>
      </w:r>
      <w:r>
        <w:rPr>
          <w:rStyle w:val="31"/>
        </w:rPr>
        <w:t>9.4</w:t>
      </w:r>
      <w:r>
        <w:rPr>
          <w:rFonts w:asciiTheme="minorHAnsi" w:hAnsiTheme="minorHAnsi" w:eastAsiaTheme="minorEastAsia" w:cstheme="minorBidi"/>
          <w:sz w:val="21"/>
          <w:szCs w:val="22"/>
        </w:rPr>
        <w:tab/>
      </w:r>
      <w:r>
        <w:rPr>
          <w:rStyle w:val="31"/>
          <w:rFonts w:hint="eastAsia"/>
        </w:rPr>
        <w:t>建立健全多元化投融资机制</w:t>
      </w:r>
      <w:r>
        <w:tab/>
      </w:r>
      <w:r>
        <w:fldChar w:fldCharType="begin"/>
      </w:r>
      <w:r>
        <w:instrText xml:space="preserve"> PAGEREF _Toc19642610 \h </w:instrText>
      </w:r>
      <w:r>
        <w:fldChar w:fldCharType="separate"/>
      </w:r>
      <w:r>
        <w:t>40</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"_Toc19642611" </w:instrText>
      </w:r>
      <w:r>
        <w:fldChar w:fldCharType="separate"/>
      </w:r>
      <w:r>
        <w:rPr>
          <w:rStyle w:val="31"/>
        </w:rPr>
        <w:t>9.5</w:t>
      </w:r>
      <w:r>
        <w:rPr>
          <w:rFonts w:asciiTheme="minorHAnsi" w:hAnsiTheme="minorHAnsi" w:eastAsiaTheme="minorEastAsia" w:cstheme="minorBidi"/>
          <w:sz w:val="21"/>
          <w:szCs w:val="22"/>
        </w:rPr>
        <w:tab/>
      </w:r>
      <w:r>
        <w:rPr>
          <w:rStyle w:val="31"/>
          <w:rFonts w:hint="eastAsia"/>
        </w:rPr>
        <w:t>营造良好舆论氛围</w:t>
      </w:r>
      <w:r>
        <w:tab/>
      </w:r>
      <w:r>
        <w:fldChar w:fldCharType="begin"/>
      </w:r>
      <w:r>
        <w:instrText xml:space="preserve"> PAGEREF _Toc19642611 \h </w:instrText>
      </w:r>
      <w:r>
        <w:fldChar w:fldCharType="separate"/>
      </w:r>
      <w:r>
        <w:t>40</w:t>
      </w:r>
      <w:r>
        <w:fldChar w:fldCharType="end"/>
      </w:r>
      <w:r>
        <w:fldChar w:fldCharType="end"/>
      </w:r>
    </w:p>
    <w:p>
      <w:pPr>
        <w:pStyle w:val="23"/>
        <w:spacing w:line="276" w:lineRule="auto"/>
        <w:ind w:left="312"/>
        <w:rPr>
          <w:rFonts w:asciiTheme="minorHAnsi" w:hAnsiTheme="minorHAnsi" w:eastAsiaTheme="minorEastAsia" w:cstheme="minorBidi"/>
          <w:sz w:val="21"/>
          <w:szCs w:val="22"/>
        </w:rPr>
      </w:pPr>
      <w:r>
        <w:fldChar w:fldCharType="begin"/>
      </w:r>
      <w:r>
        <w:instrText xml:space="preserve"> HYPERLINK \l "_Toc19642612" </w:instrText>
      </w:r>
      <w:r>
        <w:fldChar w:fldCharType="separate"/>
      </w:r>
      <w:r>
        <w:rPr>
          <w:rStyle w:val="31"/>
        </w:rPr>
        <w:t>9.6</w:t>
      </w:r>
      <w:r>
        <w:rPr>
          <w:rFonts w:asciiTheme="minorHAnsi" w:hAnsiTheme="minorHAnsi" w:eastAsiaTheme="minorEastAsia" w:cstheme="minorBidi"/>
          <w:sz w:val="21"/>
          <w:szCs w:val="22"/>
        </w:rPr>
        <w:tab/>
      </w:r>
      <w:r>
        <w:rPr>
          <w:rStyle w:val="31"/>
          <w:rFonts w:hint="eastAsia"/>
        </w:rPr>
        <w:t>加强通信安全体系建设</w:t>
      </w:r>
      <w:r>
        <w:tab/>
      </w:r>
      <w:r>
        <w:fldChar w:fldCharType="begin"/>
      </w:r>
      <w:r>
        <w:instrText xml:space="preserve"> PAGEREF _Toc19642612 \h </w:instrText>
      </w:r>
      <w:r>
        <w:fldChar w:fldCharType="separate"/>
      </w:r>
      <w:r>
        <w:t>41</w:t>
      </w:r>
      <w:r>
        <w:fldChar w:fldCharType="end"/>
      </w:r>
      <w:r>
        <w:fldChar w:fldCharType="end"/>
      </w:r>
    </w:p>
    <w:p>
      <w:pPr>
        <w:pStyle w:val="23"/>
        <w:spacing w:line="276" w:lineRule="auto"/>
        <w:ind w:leftChars="54" w:firstLine="240" w:firstLineChars="100"/>
        <w:rPr>
          <w:rFonts w:asciiTheme="minorHAnsi" w:hAnsiTheme="minorHAnsi" w:eastAsiaTheme="minorEastAsia" w:cstheme="minorBidi"/>
          <w:sz w:val="21"/>
          <w:szCs w:val="22"/>
        </w:rPr>
      </w:pPr>
      <w:r>
        <w:fldChar w:fldCharType="begin"/>
      </w:r>
      <w:r>
        <w:instrText xml:space="preserve"> HYPERLINK \l "_Toc19642613" </w:instrText>
      </w:r>
      <w:r>
        <w:fldChar w:fldCharType="separate"/>
      </w:r>
      <w:r>
        <w:rPr>
          <w:rStyle w:val="31"/>
        </w:rPr>
        <w:t>9.7</w:t>
      </w:r>
      <w:r>
        <w:rPr>
          <w:rFonts w:asciiTheme="minorHAnsi" w:hAnsiTheme="minorHAnsi" w:eastAsiaTheme="minorEastAsia" w:cstheme="minorBidi"/>
          <w:sz w:val="21"/>
          <w:szCs w:val="22"/>
        </w:rPr>
        <w:tab/>
      </w:r>
      <w:r>
        <w:rPr>
          <w:rStyle w:val="31"/>
          <w:rFonts w:hint="eastAsia"/>
        </w:rPr>
        <w:t>进行考核评估体系建设</w:t>
      </w:r>
      <w:r>
        <w:tab/>
      </w:r>
      <w:r>
        <w:fldChar w:fldCharType="begin"/>
      </w:r>
      <w:r>
        <w:instrText xml:space="preserve"> PAGEREF _Toc19642613 \h </w:instrText>
      </w:r>
      <w:r>
        <w:fldChar w:fldCharType="separate"/>
      </w:r>
      <w:r>
        <w:t>41</w:t>
      </w:r>
      <w:r>
        <w:fldChar w:fldCharType="end"/>
      </w:r>
      <w:r>
        <w:fldChar w:fldCharType="end"/>
      </w:r>
    </w:p>
    <w:p>
      <w:pPr>
        <w:contextualSpacing/>
      </w:pPr>
      <w:r>
        <w:rPr>
          <w:rFonts w:eastAsia="黑体"/>
        </w:rPr>
        <w:fldChar w:fldCharType="end"/>
      </w:r>
    </w:p>
    <w:p>
      <w:pPr>
        <w:pStyle w:val="2"/>
        <w:numPr>
          <w:ilvl w:val="0"/>
          <w:numId w:val="0"/>
        </w:numPr>
        <w:contextualSpacing/>
        <w:sectPr>
          <w:headerReference r:id="rId7" w:type="first"/>
          <w:footerReference r:id="rId9" w:type="first"/>
          <w:headerReference r:id="rId5" w:type="default"/>
          <w:headerReference r:id="rId6" w:type="even"/>
          <w:footerReference r:id="rId8" w:type="even"/>
          <w:pgSz w:w="23814" w:h="16839" w:orient="landscape"/>
          <w:pgMar w:top="1287" w:right="1440" w:bottom="1287" w:left="1440" w:header="851" w:footer="992" w:gutter="0"/>
          <w:cols w:space="425" w:num="2"/>
          <w:docGrid w:linePitch="326" w:charSpace="0"/>
        </w:sectPr>
      </w:pPr>
    </w:p>
    <w:p>
      <w:pPr>
        <w:pStyle w:val="2"/>
        <w:contextualSpacing/>
      </w:pPr>
      <w:bookmarkStart w:id="0" w:name="_Toc19642558"/>
      <w:r>
        <w:rPr>
          <w:rFonts w:hint="eastAsia"/>
        </w:rPr>
        <w:t>前言</w:t>
      </w:r>
      <w:bookmarkEnd w:id="0"/>
    </w:p>
    <w:p>
      <w:pPr>
        <w:contextualSpacing/>
      </w:pPr>
      <w:r>
        <w:rPr>
          <w:rFonts w:hint="eastAsia"/>
        </w:rPr>
        <w:t>党的十九大提出建设“科技强国、网络强国、数字中国、智慧社会”等发展目标，作出推动互联网、大数据、人工智能和实体经济深度融合等战略部署。铜梁区政府深入学习贯彻习近平新时代中国特色社会主义思想和党的十九大精神，全面推进区域信息化、数字化、智慧化城市建设，加快铜梁区通信基础设施的规划和建设，助力网络强国，服务万物互联，为推动区域经济发展和人民生活改善打下基础。</w:t>
      </w:r>
    </w:p>
    <w:p>
      <w:pPr>
        <w:contextualSpacing/>
        <w:rPr>
          <w:color w:val="FF0000"/>
          <w:u w:val="single"/>
        </w:rPr>
      </w:pPr>
      <w:r>
        <w:t>随着</w:t>
      </w:r>
      <w:r>
        <w:rPr>
          <w:rFonts w:hint="eastAsia"/>
        </w:rPr>
        <w:t>铜梁</w:t>
      </w:r>
      <w:r>
        <w:t>城区整体城市规划展开，未来几年的建设用地不断扩大，城市空间布局不断优化，以及智慧城市的建设和产业结构的升级，这些都对通信基础设施提出了更高的要求，通信基础设施本身的升级改造和优化提高也迫在眉睫。因此，针对全</w:t>
      </w:r>
      <w:r>
        <w:rPr>
          <w:rFonts w:hint="eastAsia"/>
        </w:rPr>
        <w:t>区</w:t>
      </w:r>
      <w:r>
        <w:t>重大发展建设，通信基础设施规划是必要的和迫切的</w:t>
      </w:r>
      <w:r>
        <w:rPr>
          <w:rFonts w:hint="eastAsia"/>
        </w:rPr>
        <w:t>。</w:t>
      </w:r>
    </w:p>
    <w:p>
      <w:pPr>
        <w:contextualSpacing/>
      </w:pPr>
      <w:r>
        <w:t>通信基础设施规划是搭建城市规划与工程实施的桥梁，是落实新型城镇化发展目标，支撑通信基础设施建设的重要纽带，将为智慧城市的建设提供基础保障，为规划管理提供技术支持。</w:t>
      </w:r>
      <w:r>
        <w:tab/>
      </w:r>
    </w:p>
    <w:p>
      <w:pPr>
        <w:contextualSpacing/>
      </w:pPr>
      <w:r>
        <w:rPr>
          <w:rFonts w:hint="eastAsia"/>
        </w:rPr>
        <w:t>根据《重庆市人民政府办公厅关于推进5G通信网建设发展的实施意见》文件指出，到2</w:t>
      </w:r>
      <w:r>
        <w:t>020</w:t>
      </w:r>
      <w:r>
        <w:rPr>
          <w:rFonts w:hint="eastAsia"/>
        </w:rPr>
        <w:t>年要基本建成覆盖城乡的5G基站站址保障体系。全面推进社会公共杆塔资源开放，有效推动“通信塔”与“社会塔”深入共建和开放共享</w:t>
      </w:r>
      <w:r>
        <w:rPr>
          <w:rFonts w:hint="eastAsia"/>
          <w:lang w:eastAsia="zh-CN"/>
        </w:rPr>
        <w:t>，</w:t>
      </w:r>
      <w:r>
        <w:rPr>
          <w:rFonts w:hint="eastAsia"/>
        </w:rPr>
        <w:t>形成高效发展环境</w:t>
      </w:r>
      <w:r>
        <w:rPr>
          <w:rFonts w:hint="eastAsia"/>
          <w:lang w:eastAsia="zh-CN"/>
        </w:rPr>
        <w:t>。</w:t>
      </w:r>
      <w:r>
        <w:rPr>
          <w:rFonts w:hint="eastAsia"/>
        </w:rPr>
        <w:t>建立覆盖市、区县两级的通信网建设发展工作机制，推动构建适应我市5G规模部署的规划、环保、土地、电力等低要素成本的通信网发展环境，区县通信基础设施专项规划编制率达到100%，具备条件的区县要将通信基础设施专项规划纳入相关控制性详细规划。建立社会杆塔资源统一规划管理平台，实现各类社会杆塔资源统筹规划、资源共享。完善城市通信设施规划建设管理体系，在建设住宅、道路、市政设施、交通枢纽、内河航道等项目时，同步落实5G通信网配建要求。</w:t>
      </w:r>
    </w:p>
    <w:p>
      <w:pPr>
        <w:contextualSpacing/>
      </w:pPr>
      <w:r>
        <w:rPr>
          <w:rFonts w:hint="eastAsia"/>
        </w:rPr>
        <w:t>本次铜梁区通信基础设施规划紧扣《国务院关于印发“十三五”国家信息化规划的通知》以及重庆市政府发布的《重庆市人民政府关于印发重庆市“十三五”信息化规划的通知》两大纲领性文件，力争在规划期末全区的各项通信基础设施提供能力满足国家“宽带中国”战略的相关要求，基本建成高速、移动、安全、泛在的新一代信息基础设施。同时满足重庆市政府确立的“光网·无线重庆”战略的相关要求，光纤网络实现全市行政村及其周边有条件的自然村全覆盖，光纤入户用户占总宽带用户的比率达到90%，4G网络实现城镇地区深度覆盖和农村地区广域覆盖，移动宽带普及率达到90%。</w:t>
      </w:r>
    </w:p>
    <w:p>
      <w:pPr>
        <w:contextualSpacing/>
      </w:pPr>
      <w:r>
        <w:t>为合理集约安排通信基础设施布局，加强通信基础设施布局的区域协调，并有效整合</w:t>
      </w:r>
      <w:r>
        <w:rPr>
          <w:rFonts w:hint="eastAsia"/>
        </w:rPr>
        <w:t>铜梁</w:t>
      </w:r>
      <w:r>
        <w:t>区通信基础设施空间资源，切实加强空间资源合理配置与统一建设，促进通信基础设施共建共享和电信运营市场公平竞争，发挥城乡空间资源的最大经济社会环境效益，加强农村通信基础设施建设，缩小城乡差距，</w:t>
      </w:r>
      <w:r>
        <w:rPr>
          <w:rFonts w:hint="eastAsia"/>
        </w:rPr>
        <w:t>特</w:t>
      </w:r>
      <w:r>
        <w:t>制定《</w:t>
      </w:r>
      <w:r>
        <w:rPr>
          <w:rFonts w:hint="eastAsia"/>
          <w:lang w:val="en-US" w:eastAsia="zh-CN"/>
        </w:rPr>
        <w:t>铜梁区</w:t>
      </w:r>
      <w:r>
        <w:rPr>
          <w:rFonts w:hint="eastAsia"/>
        </w:rPr>
        <w:t>5G通信</w:t>
      </w:r>
      <w:r>
        <w:rPr>
          <w:rFonts w:hint="eastAsia"/>
          <w:lang w:val="en-US" w:eastAsia="zh-CN"/>
        </w:rPr>
        <w:t>设施</w:t>
      </w:r>
      <w:r>
        <w:rPr>
          <w:rFonts w:hint="eastAsia"/>
        </w:rPr>
        <w:t>专项规划</w:t>
      </w:r>
      <w:r>
        <w:t>》</w:t>
      </w:r>
      <w:r>
        <w:rPr>
          <w:rFonts w:hint="eastAsia"/>
        </w:rPr>
        <w:t>，并纳入铜梁</w:t>
      </w:r>
      <w:r>
        <w:t>区城乡总体规划。</w:t>
      </w:r>
    </w:p>
    <w:p>
      <w:pPr>
        <w:pStyle w:val="2"/>
        <w:contextualSpacing/>
      </w:pPr>
      <w:bookmarkStart w:id="1" w:name="_Toc19642559"/>
      <w:r>
        <w:rPr>
          <w:rFonts w:hint="eastAsia"/>
        </w:rPr>
        <w:t>总</w:t>
      </w:r>
      <w:r>
        <w:t>则</w:t>
      </w:r>
      <w:bookmarkEnd w:id="1"/>
    </w:p>
    <w:p>
      <w:pPr>
        <w:pStyle w:val="3"/>
        <w:numPr>
          <w:ilvl w:val="1"/>
          <w:numId w:val="7"/>
        </w:numPr>
        <w:contextualSpacing/>
      </w:pPr>
      <w:r>
        <w:rPr>
          <w:rFonts w:hint="eastAsia"/>
        </w:rPr>
        <w:t xml:space="preserve"> </w:t>
      </w:r>
      <w:bookmarkStart w:id="2" w:name="_Toc19642560"/>
      <w:r>
        <w:rPr>
          <w:rFonts w:hint="eastAsia"/>
        </w:rPr>
        <w:t>规划范围与年限</w:t>
      </w:r>
      <w:bookmarkEnd w:id="2"/>
    </w:p>
    <w:p>
      <w:pPr>
        <w:pStyle w:val="4"/>
        <w:numPr>
          <w:ilvl w:val="2"/>
          <w:numId w:val="7"/>
        </w:numPr>
      </w:pPr>
      <w:bookmarkStart w:id="3" w:name="_Toc19642561"/>
      <w:r>
        <w:rPr>
          <w:rFonts w:hint="eastAsia"/>
        </w:rPr>
        <w:t>规划范围及内容</w:t>
      </w:r>
      <w:bookmarkEnd w:id="3"/>
    </w:p>
    <w:p>
      <w:pPr>
        <w:contextualSpacing/>
      </w:pPr>
      <w:r>
        <w:t>本规划依托于</w:t>
      </w:r>
      <w:r>
        <w:rPr>
          <w:rFonts w:hint="eastAsia"/>
        </w:rPr>
        <w:t>铜梁</w:t>
      </w:r>
      <w:r>
        <w:t>区城乡总体规划和国家通信业</w:t>
      </w:r>
      <w:r>
        <w:rPr>
          <w:rFonts w:hint="eastAsia"/>
        </w:rPr>
        <w:t>“</w:t>
      </w:r>
      <w:r>
        <w:t>十三五</w:t>
      </w:r>
      <w:r>
        <w:rPr>
          <w:rFonts w:hint="eastAsia"/>
        </w:rPr>
        <w:t>”</w:t>
      </w:r>
      <w:r>
        <w:t>发展规划</w:t>
      </w:r>
      <w:r>
        <w:rPr>
          <w:rFonts w:hint="eastAsia"/>
        </w:rPr>
        <w:t>及重庆市“十三五”信息化规划</w:t>
      </w:r>
      <w:r>
        <w:t>，规划范围为</w:t>
      </w:r>
      <w:r>
        <w:rPr>
          <w:rFonts w:hint="eastAsia"/>
        </w:rPr>
        <w:t>铜梁</w:t>
      </w:r>
      <w:r>
        <w:t>区行政辖区，其面积为</w:t>
      </w:r>
      <w:r>
        <w:rPr>
          <w:rFonts w:hint="eastAsia"/>
        </w:rPr>
        <w:t>1343</w:t>
      </w:r>
      <w:r>
        <w:t>平方公里，简称全</w:t>
      </w:r>
      <w:r>
        <w:rPr>
          <w:rFonts w:hint="eastAsia"/>
        </w:rPr>
        <w:t>区</w:t>
      </w:r>
      <w:r>
        <w:t>。</w:t>
      </w:r>
    </w:p>
    <w:p>
      <w:pPr>
        <w:contextualSpacing/>
      </w:pPr>
      <w:r>
        <w:t>规划深度：本规划遵循统筹规划、合理布局、适当超前、优化配置、资源共享等原则，结合各通信单位在区域内的综合需求，完成规划区域内（包括基站及局房）的通信基础设施建设</w:t>
      </w:r>
      <w:r>
        <w:rPr>
          <w:color w:val="000000"/>
        </w:rPr>
        <w:t>布局</w:t>
      </w:r>
      <w:r>
        <w:t>规划</w:t>
      </w:r>
      <w:r>
        <w:rPr>
          <w:rFonts w:hint="eastAsia"/>
        </w:rPr>
        <w:t>。</w:t>
      </w:r>
    </w:p>
    <w:p>
      <w:pPr>
        <w:contextualSpacing/>
      </w:pPr>
      <w:r>
        <w:rPr>
          <w:rFonts w:hint="eastAsia"/>
        </w:rPr>
        <w:t>本规划结合铜梁区实际情况，将已建区域和新建区域（含旧城改造地块）进行区分。对于已建区域，重点提出通信设施设置要求；对于新建区域及旧城改造地块，结合地块属性，明确通信设施用地范围，纳入相关控制性规划，后续地块在规划报批需先行完成通信基站规划的审批。</w:t>
      </w:r>
    </w:p>
    <w:p>
      <w:pPr>
        <w:pStyle w:val="4"/>
        <w:numPr>
          <w:ilvl w:val="2"/>
          <w:numId w:val="7"/>
        </w:numPr>
      </w:pPr>
      <w:bookmarkStart w:id="4" w:name="_Toc19642562"/>
      <w:r>
        <w:rPr>
          <w:rFonts w:hint="eastAsia"/>
        </w:rPr>
        <w:t>规划年限</w:t>
      </w:r>
      <w:bookmarkEnd w:id="4"/>
    </w:p>
    <w:p>
      <w:pPr>
        <w:contextualSpacing/>
      </w:pPr>
      <w:r>
        <w:t>本次规划年限取定为2019~20</w:t>
      </w:r>
      <w:r>
        <w:rPr>
          <w:rFonts w:hint="eastAsia"/>
        </w:rPr>
        <w:t>25</w:t>
      </w:r>
      <w:r>
        <w:t>年。</w:t>
      </w:r>
    </w:p>
    <w:p>
      <w:pPr>
        <w:pStyle w:val="3"/>
        <w:numPr>
          <w:ilvl w:val="1"/>
          <w:numId w:val="7"/>
        </w:numPr>
        <w:contextualSpacing/>
      </w:pPr>
      <w:bookmarkStart w:id="5" w:name="_Toc19642563"/>
      <w:r>
        <w:rPr>
          <w:rFonts w:hint="eastAsia"/>
        </w:rPr>
        <w:t>规划依据</w:t>
      </w:r>
      <w:bookmarkEnd w:id="5"/>
    </w:p>
    <w:p>
      <w:pPr>
        <w:ind w:firstLine="560"/>
        <w:contextualSpacing/>
      </w:pPr>
      <w:r>
        <w:rPr>
          <w:rFonts w:eastAsia="黑体"/>
          <w:kern w:val="44"/>
          <w:sz w:val="28"/>
          <w:szCs w:val="28"/>
        </w:rPr>
        <w:t>2.</w:t>
      </w:r>
      <w:r>
        <w:rPr>
          <w:rFonts w:hint="eastAsia" w:eastAsia="黑体"/>
          <w:kern w:val="44"/>
          <w:sz w:val="28"/>
          <w:szCs w:val="28"/>
        </w:rPr>
        <w:t>1</w:t>
      </w:r>
      <w:r>
        <w:rPr>
          <w:rFonts w:eastAsia="黑体"/>
          <w:kern w:val="44"/>
          <w:sz w:val="28"/>
          <w:szCs w:val="28"/>
        </w:rPr>
        <w:t>.</w:t>
      </w:r>
      <w:r>
        <w:rPr>
          <w:rFonts w:hint="eastAsia" w:eastAsia="黑体"/>
          <w:kern w:val="44"/>
          <w:sz w:val="28"/>
          <w:szCs w:val="28"/>
        </w:rPr>
        <w:t xml:space="preserve"> </w:t>
      </w:r>
      <w:r>
        <w:rPr>
          <w:rFonts w:hint="eastAsia"/>
        </w:rPr>
        <w:t>法律法规</w:t>
      </w:r>
    </w:p>
    <w:p>
      <w:r>
        <w:rPr>
          <w:rFonts w:hint="eastAsia"/>
        </w:rPr>
        <w:t>（1）《中华人民共和国城乡规划法》（2019修正）</w:t>
      </w:r>
    </w:p>
    <w:p>
      <w:r>
        <w:rPr>
          <w:rFonts w:hint="eastAsia"/>
        </w:rPr>
        <w:t>（2）《中华人民共和国环境保护法》(2015)</w:t>
      </w:r>
    </w:p>
    <w:p>
      <w:r>
        <w:rPr>
          <w:rFonts w:hint="eastAsia"/>
        </w:rPr>
        <w:t>（3）《中华人民共和国无线电管理条例》（2016）</w:t>
      </w:r>
    </w:p>
    <w:p>
      <w:pPr>
        <w:rPr>
          <w:rFonts w:hint="eastAsia"/>
        </w:rPr>
      </w:pPr>
      <w:r>
        <w:rPr>
          <w:rFonts w:hint="eastAsia"/>
        </w:rPr>
        <w:t>（4）《中华人民共和国电信条例》(2016修订)</w:t>
      </w:r>
    </w:p>
    <w:p>
      <w:pPr>
        <w:ind w:left="0" w:leftChars="0" w:firstLine="560" w:firstLineChars="200"/>
        <w:contextualSpacing/>
      </w:pPr>
      <w:r>
        <w:rPr>
          <w:rFonts w:eastAsia="黑体"/>
          <w:kern w:val="44"/>
          <w:sz w:val="28"/>
          <w:szCs w:val="28"/>
        </w:rPr>
        <w:t>2.</w:t>
      </w:r>
      <w:r>
        <w:rPr>
          <w:rFonts w:hint="eastAsia" w:eastAsia="黑体"/>
          <w:kern w:val="44"/>
          <w:sz w:val="28"/>
          <w:szCs w:val="28"/>
        </w:rPr>
        <w:t>2</w:t>
      </w:r>
      <w:r>
        <w:rPr>
          <w:rFonts w:eastAsia="黑体"/>
          <w:kern w:val="44"/>
          <w:sz w:val="28"/>
          <w:szCs w:val="28"/>
        </w:rPr>
        <w:t>.</w:t>
      </w:r>
      <w:r>
        <w:rPr>
          <w:rFonts w:hint="eastAsia" w:eastAsia="黑体"/>
          <w:kern w:val="44"/>
          <w:sz w:val="28"/>
          <w:szCs w:val="28"/>
        </w:rPr>
        <w:t xml:space="preserve"> </w:t>
      </w:r>
      <w:r>
        <w:rPr>
          <w:rFonts w:hint="eastAsia"/>
        </w:rPr>
        <w:t>政府发文</w:t>
      </w:r>
    </w:p>
    <w:p>
      <w:r>
        <w:rPr>
          <w:rFonts w:hint="eastAsia"/>
        </w:rPr>
        <w:t>（1）《国务院关于印发“十三五”国家信息化规划的通知国发》〔2016〕73号，</w:t>
      </w:r>
    </w:p>
    <w:p>
      <w:r>
        <w:rPr>
          <w:rFonts w:hint="eastAsia"/>
        </w:rPr>
        <w:t>（2）</w:t>
      </w:r>
      <w:r>
        <w:t>《</w:t>
      </w:r>
      <w:r>
        <w:rPr>
          <w:rFonts w:hint="eastAsia"/>
        </w:rPr>
        <w:t>重庆市人民政府关于印发重庆市“十三五”信息化规划的通知</w:t>
      </w:r>
      <w:r>
        <w:t>》</w:t>
      </w:r>
      <w:r>
        <w:rPr>
          <w:rFonts w:hint="eastAsia"/>
        </w:rPr>
        <w:t>渝府发〔2017〕32号；</w:t>
      </w:r>
    </w:p>
    <w:p>
      <w:r>
        <w:rPr>
          <w:rFonts w:hint="eastAsia"/>
        </w:rPr>
        <w:t>（</w:t>
      </w:r>
      <w:r>
        <w:t>3</w:t>
      </w:r>
      <w:r>
        <w:rPr>
          <w:rFonts w:hint="eastAsia"/>
        </w:rPr>
        <w:t>）</w:t>
      </w:r>
      <w:r>
        <w:t>《国务院关于加强城市基础设施建设的意见》（国发</w:t>
      </w:r>
      <w:r>
        <w:rPr>
          <w:rFonts w:hint="eastAsia" w:ascii="宋体" w:hAnsi="宋体"/>
        </w:rPr>
        <w:t>〔</w:t>
      </w:r>
      <w:r>
        <w:t>2013</w:t>
      </w:r>
      <w:r>
        <w:rPr>
          <w:rFonts w:hint="eastAsia" w:ascii="宋体" w:hAnsi="宋体"/>
        </w:rPr>
        <w:t>〕</w:t>
      </w:r>
      <w:r>
        <w:t>36号）；</w:t>
      </w:r>
    </w:p>
    <w:p>
      <w:r>
        <w:rPr>
          <w:rFonts w:hint="eastAsia"/>
        </w:rPr>
        <w:t>（</w:t>
      </w:r>
      <w:r>
        <w:t>4</w:t>
      </w:r>
      <w:r>
        <w:rPr>
          <w:rFonts w:hint="eastAsia"/>
        </w:rPr>
        <w:t>）</w:t>
      </w:r>
      <w:r>
        <w:t>《国家新型城镇化规划（2014—2020年）》；</w:t>
      </w:r>
    </w:p>
    <w:p>
      <w:r>
        <w:rPr>
          <w:rFonts w:hint="eastAsia"/>
        </w:rPr>
        <w:t>（</w:t>
      </w:r>
      <w:r>
        <w:t>5</w:t>
      </w:r>
      <w:r>
        <w:rPr>
          <w:rFonts w:hint="eastAsia"/>
        </w:rPr>
        <w:t>）</w:t>
      </w:r>
      <w:r>
        <w:t>《关于推进电信基础设施共建共享的紧急通知》（工信部联通</w:t>
      </w:r>
      <w:r>
        <w:rPr>
          <w:rFonts w:hint="eastAsia" w:ascii="宋体" w:hAnsi="宋体"/>
        </w:rPr>
        <w:t>〔</w:t>
      </w:r>
      <w:r>
        <w:t>2008</w:t>
      </w:r>
      <w:r>
        <w:rPr>
          <w:rFonts w:hint="eastAsia" w:ascii="宋体" w:hAnsi="宋体"/>
        </w:rPr>
        <w:t>〕</w:t>
      </w:r>
      <w:r>
        <w:t>235号）；</w:t>
      </w:r>
    </w:p>
    <w:p>
      <w:r>
        <w:rPr>
          <w:rFonts w:hint="eastAsia"/>
        </w:rPr>
        <w:t>（</w:t>
      </w:r>
      <w:r>
        <w:t>6</w:t>
      </w:r>
      <w:r>
        <w:rPr>
          <w:rFonts w:hint="eastAsia"/>
        </w:rPr>
        <w:t>）</w:t>
      </w:r>
      <w:r>
        <w:t>《国务院国有资产监督管理委员会关于2015年推进电信基础设施共建共享的实施意见》（工信部联通</w:t>
      </w:r>
      <w:r>
        <w:rPr>
          <w:rFonts w:hint="eastAsia" w:ascii="宋体" w:hAnsi="宋体"/>
        </w:rPr>
        <w:t>〔</w:t>
      </w:r>
      <w:r>
        <w:t>2014</w:t>
      </w:r>
      <w:r>
        <w:rPr>
          <w:rFonts w:hint="eastAsia" w:ascii="宋体" w:hAnsi="宋体"/>
        </w:rPr>
        <w:t>〕</w:t>
      </w:r>
      <w:r>
        <w:t>586号）；</w:t>
      </w:r>
    </w:p>
    <w:p>
      <w:r>
        <w:rPr>
          <w:rFonts w:hint="eastAsia"/>
        </w:rPr>
        <w:t>（</w:t>
      </w:r>
      <w:r>
        <w:t>7</w:t>
      </w:r>
      <w:r>
        <w:rPr>
          <w:rFonts w:hint="eastAsia"/>
        </w:rPr>
        <w:t>）</w:t>
      </w:r>
      <w:r>
        <w:t>《国务院关于积极推进</w:t>
      </w:r>
      <w:r>
        <w:rPr>
          <w:rFonts w:hint="eastAsia"/>
        </w:rPr>
        <w:t>“</w:t>
      </w:r>
      <w:r>
        <w:t>互联网+</w:t>
      </w:r>
      <w:r>
        <w:rPr>
          <w:rFonts w:hint="eastAsia"/>
        </w:rPr>
        <w:t>”</w:t>
      </w:r>
      <w:r>
        <w:t>行动的指导意见》（国发</w:t>
      </w:r>
      <w:r>
        <w:rPr>
          <w:rFonts w:hint="eastAsia" w:ascii="宋体" w:hAnsi="宋体"/>
        </w:rPr>
        <w:t>〔</w:t>
      </w:r>
      <w:r>
        <w:t>2015</w:t>
      </w:r>
      <w:r>
        <w:rPr>
          <w:rFonts w:hint="eastAsia" w:ascii="宋体" w:hAnsi="宋体"/>
        </w:rPr>
        <w:t>〕</w:t>
      </w:r>
      <w:r>
        <w:t>40号）</w:t>
      </w:r>
    </w:p>
    <w:p>
      <w:r>
        <w:rPr>
          <w:rFonts w:hint="eastAsia"/>
        </w:rPr>
        <w:t>（</w:t>
      </w:r>
      <w:r>
        <w:t>8</w:t>
      </w:r>
      <w:r>
        <w:rPr>
          <w:rFonts w:hint="eastAsia"/>
        </w:rPr>
        <w:t>）</w:t>
      </w:r>
      <w:r>
        <w:t>《国务院办公厅关于加快高速宽带网络建设推进网络提速降费的指导意见》（国办发</w:t>
      </w:r>
      <w:r>
        <w:rPr>
          <w:rFonts w:hint="eastAsia" w:ascii="宋体" w:hAnsi="宋体"/>
        </w:rPr>
        <w:t>〔</w:t>
      </w:r>
      <w:r>
        <w:t>2015</w:t>
      </w:r>
      <w:r>
        <w:rPr>
          <w:rFonts w:hint="eastAsia" w:ascii="宋体" w:hAnsi="宋体"/>
        </w:rPr>
        <w:t>〕</w:t>
      </w:r>
      <w:r>
        <w:t>41号）</w:t>
      </w:r>
    </w:p>
    <w:p>
      <w:r>
        <w:rPr>
          <w:rFonts w:hint="eastAsia"/>
        </w:rPr>
        <w:t>（</w:t>
      </w:r>
      <w:r>
        <w:t>9</w:t>
      </w:r>
      <w:r>
        <w:rPr>
          <w:rFonts w:hint="eastAsia"/>
        </w:rPr>
        <w:t>）</w:t>
      </w:r>
      <w:r>
        <w:t>《</w:t>
      </w:r>
      <w:r>
        <w:rPr>
          <w:rFonts w:hint="eastAsia"/>
        </w:rPr>
        <w:t>工信部、国土资源部、住房城乡建设部关于加强移动通信铁塔站址用地及规划管理的通知》〔2017〕234号；</w:t>
      </w:r>
    </w:p>
    <w:p>
      <w:r>
        <w:rPr>
          <w:rFonts w:hint="eastAsia"/>
        </w:rPr>
        <w:t>（</w:t>
      </w:r>
      <w:r>
        <w:t>10</w:t>
      </w:r>
      <w:r>
        <w:rPr>
          <w:rFonts w:hint="eastAsia"/>
        </w:rPr>
        <w:t>）《</w:t>
      </w:r>
      <w:r>
        <w:t>住房城乡建设部工业和信息化部关于加强城市通信基础设施规划的通知》</w:t>
      </w:r>
      <w:r>
        <w:rPr>
          <w:rFonts w:hint="eastAsia"/>
        </w:rPr>
        <w:t>(</w:t>
      </w:r>
      <w:r>
        <w:t>建规</w:t>
      </w:r>
      <w:r>
        <w:rPr>
          <w:rFonts w:hint="eastAsia" w:ascii="宋体" w:hAnsi="宋体"/>
        </w:rPr>
        <w:t>〔</w:t>
      </w:r>
      <w:r>
        <w:t>2015</w:t>
      </w:r>
      <w:r>
        <w:rPr>
          <w:rFonts w:hint="eastAsia" w:ascii="宋体" w:hAnsi="宋体"/>
        </w:rPr>
        <w:t>〕</w:t>
      </w:r>
      <w:r>
        <w:t>132号</w:t>
      </w:r>
      <w:r>
        <w:rPr>
          <w:rFonts w:hint="eastAsia"/>
        </w:rPr>
        <w:t>)</w:t>
      </w:r>
    </w:p>
    <w:p>
      <w:r>
        <w:rPr>
          <w:rFonts w:hint="eastAsia"/>
        </w:rPr>
        <w:t>（</w:t>
      </w:r>
      <w:r>
        <w:t>11</w:t>
      </w:r>
      <w:r>
        <w:rPr>
          <w:rFonts w:hint="eastAsia"/>
        </w:rPr>
        <w:t>）</w:t>
      </w:r>
      <w:r>
        <w:t>《重庆市人民政府办公厅关于印发重庆市法定城乡规划全覆盖工作计划的通知》（渝府办发</w:t>
      </w:r>
      <w:r>
        <w:rPr>
          <w:rFonts w:hint="eastAsia" w:ascii="宋体" w:hAnsi="宋体"/>
        </w:rPr>
        <w:t>〔</w:t>
      </w:r>
      <w:r>
        <w:t>2014</w:t>
      </w:r>
      <w:r>
        <w:rPr>
          <w:rFonts w:hint="eastAsia" w:ascii="宋体" w:hAnsi="宋体"/>
        </w:rPr>
        <w:t>〕</w:t>
      </w:r>
      <w:r>
        <w:t>70号）；</w:t>
      </w:r>
    </w:p>
    <w:p>
      <w:r>
        <w:rPr>
          <w:rFonts w:hint="eastAsia"/>
        </w:rPr>
        <w:t>（</w:t>
      </w:r>
      <w:r>
        <w:t>12</w:t>
      </w:r>
      <w:r>
        <w:rPr>
          <w:rFonts w:hint="eastAsia"/>
        </w:rPr>
        <w:t>）</w:t>
      </w:r>
      <w:r>
        <w:t>《关于加强城市通信基础设施规划的通知》（建规</w:t>
      </w:r>
      <w:r>
        <w:rPr>
          <w:rFonts w:hint="eastAsia" w:ascii="宋体" w:hAnsi="宋体"/>
        </w:rPr>
        <w:t>〔</w:t>
      </w:r>
      <w:r>
        <w:t>2015</w:t>
      </w:r>
      <w:r>
        <w:rPr>
          <w:rFonts w:hint="eastAsia" w:ascii="宋体" w:hAnsi="宋体"/>
        </w:rPr>
        <w:t>〕</w:t>
      </w:r>
      <w:r>
        <w:t>132号）；</w:t>
      </w:r>
    </w:p>
    <w:p>
      <w:r>
        <w:rPr>
          <w:rFonts w:hint="eastAsia"/>
        </w:rPr>
        <w:t>（</w:t>
      </w:r>
      <w:r>
        <w:t>13</w:t>
      </w:r>
      <w:r>
        <w:rPr>
          <w:rFonts w:hint="eastAsia"/>
        </w:rPr>
        <w:t>）</w:t>
      </w:r>
      <w:r>
        <w:t>《重庆市电信设施建设与保护办法》（重庆市人民政府令第302号）；</w:t>
      </w:r>
    </w:p>
    <w:p>
      <w:r>
        <w:rPr>
          <w:rFonts w:hint="eastAsia"/>
        </w:rPr>
        <w:t>（</w:t>
      </w:r>
      <w:r>
        <w:t>14</w:t>
      </w:r>
      <w:r>
        <w:rPr>
          <w:rFonts w:hint="eastAsia"/>
        </w:rPr>
        <w:t>）</w:t>
      </w:r>
      <w:r>
        <w:t>《重庆市住宅建筑群电信用户驻地网建设规范》（DBJ50-056－2011）；</w:t>
      </w:r>
    </w:p>
    <w:p>
      <w:r>
        <w:rPr>
          <w:rFonts w:hint="eastAsia"/>
        </w:rPr>
        <w:t>（</w:t>
      </w:r>
      <w:r>
        <w:t>15</w:t>
      </w:r>
      <w:r>
        <w:rPr>
          <w:rFonts w:hint="eastAsia"/>
        </w:rPr>
        <w:t>）</w:t>
      </w:r>
      <w:r>
        <w:t>《重庆市城市规划管理技术规定》（渝府令2016第 259 号）；</w:t>
      </w:r>
    </w:p>
    <w:p>
      <w:bookmarkStart w:id="6" w:name="_Hlk1982229"/>
      <w:r>
        <w:rPr>
          <w:rFonts w:hint="eastAsia"/>
        </w:rPr>
        <w:t>（</w:t>
      </w:r>
      <w:r>
        <w:t>16</w:t>
      </w:r>
      <w:r>
        <w:rPr>
          <w:rFonts w:hint="eastAsia"/>
        </w:rPr>
        <w:t>）</w:t>
      </w:r>
      <w:r>
        <w:t>《</w:t>
      </w:r>
      <w:r>
        <w:rPr>
          <w:rFonts w:hint="eastAsia"/>
        </w:rPr>
        <w:t>重庆市人民政府办公厅关于推进5G通信网建设发展的实施意见</w:t>
      </w:r>
      <w:r>
        <w:t>》（</w:t>
      </w:r>
      <w:r>
        <w:rPr>
          <w:rFonts w:hint="eastAsia"/>
        </w:rPr>
        <w:t>渝府办发〔2019〕4号</w:t>
      </w:r>
      <w:r>
        <w:t>）；</w:t>
      </w:r>
    </w:p>
    <w:p>
      <w:pPr>
        <w:rPr>
          <w:rFonts w:hint="eastAsia"/>
        </w:rPr>
      </w:pPr>
      <w:r>
        <w:rPr>
          <w:rFonts w:hint="eastAsia"/>
        </w:rPr>
        <w:t>（17）</w:t>
      </w:r>
      <w:r>
        <w:t>《</w:t>
      </w:r>
      <w:r>
        <w:rPr>
          <w:rFonts w:hint="eastAsia"/>
        </w:rPr>
        <w:t>关于做好国土空间规划通信专项规划工作的通知</w:t>
      </w:r>
      <w:r>
        <w:t>》（</w:t>
      </w:r>
      <w:r>
        <w:rPr>
          <w:rFonts w:hint="eastAsia"/>
        </w:rPr>
        <w:t>渝</w:t>
      </w:r>
      <w:r>
        <w:rPr>
          <w:rFonts w:hint="eastAsia"/>
          <w:lang w:val="en-US" w:eastAsia="zh-CN"/>
        </w:rPr>
        <w:t>通信联</w:t>
      </w:r>
      <w:r>
        <w:rPr>
          <w:rFonts w:hint="eastAsia"/>
        </w:rPr>
        <w:t>〔20</w:t>
      </w:r>
      <w:r>
        <w:rPr>
          <w:rFonts w:hint="eastAsia"/>
          <w:lang w:val="en-US" w:eastAsia="zh-CN"/>
        </w:rPr>
        <w:t>20</w:t>
      </w:r>
      <w:r>
        <w:rPr>
          <w:rFonts w:hint="eastAsia"/>
        </w:rPr>
        <w:t>〕</w:t>
      </w:r>
      <w:r>
        <w:rPr>
          <w:rFonts w:hint="eastAsia"/>
          <w:lang w:val="en-US" w:eastAsia="zh-CN"/>
        </w:rPr>
        <w:t>10</w:t>
      </w:r>
      <w:r>
        <w:rPr>
          <w:rFonts w:hint="eastAsia"/>
        </w:rPr>
        <w:t>号</w:t>
      </w:r>
      <w:r>
        <w:t>）</w:t>
      </w:r>
      <w:r>
        <w:rPr>
          <w:rFonts w:hint="eastAsia"/>
        </w:rPr>
        <w:t>；</w:t>
      </w:r>
    </w:p>
    <w:p>
      <w:r>
        <w:rPr>
          <w:rFonts w:hint="eastAsia"/>
        </w:rPr>
        <w:t>（1</w:t>
      </w:r>
      <w:r>
        <w:rPr>
          <w:rFonts w:hint="eastAsia"/>
          <w:lang w:val="en-US" w:eastAsia="zh-CN"/>
        </w:rPr>
        <w:t>8</w:t>
      </w:r>
      <w:r>
        <w:rPr>
          <w:rFonts w:hint="eastAsia"/>
        </w:rPr>
        <w:t>）中国铁塔集团公司总部下发的《关于2019年站址规划工作的通知》；</w:t>
      </w:r>
    </w:p>
    <w:p>
      <w:r>
        <w:rPr>
          <w:rFonts w:hint="eastAsia"/>
        </w:rPr>
        <w:t>（1</w:t>
      </w:r>
      <w:r>
        <w:rPr>
          <w:rFonts w:hint="eastAsia"/>
          <w:lang w:val="en-US" w:eastAsia="zh-CN"/>
        </w:rPr>
        <w:t>9</w:t>
      </w:r>
      <w:r>
        <w:rPr>
          <w:rFonts w:hint="eastAsia"/>
        </w:rPr>
        <w:t>）中国铁塔集团公司总部下发的《2019年站址规划指导意见》；</w:t>
      </w:r>
    </w:p>
    <w:p>
      <w:r>
        <w:rPr>
          <w:rFonts w:hint="eastAsia"/>
        </w:rPr>
        <w:t>（</w:t>
      </w:r>
      <w:r>
        <w:rPr>
          <w:rFonts w:hint="eastAsia"/>
          <w:lang w:val="en-US" w:eastAsia="zh-CN"/>
        </w:rPr>
        <w:t>20</w:t>
      </w:r>
      <w:r>
        <w:rPr>
          <w:rFonts w:hint="eastAsia"/>
        </w:rPr>
        <w:t>）中国铁塔重庆市分公司对各电信运营商近期5G建设需求的调研资料；</w:t>
      </w:r>
    </w:p>
    <w:p>
      <w:r>
        <w:rPr>
          <w:rFonts w:hint="eastAsia"/>
        </w:rPr>
        <w:t>（</w:t>
      </w:r>
      <w:r>
        <w:rPr>
          <w:rFonts w:hint="eastAsia"/>
          <w:lang w:val="en-US" w:eastAsia="zh-CN"/>
        </w:rPr>
        <w:t>21</w:t>
      </w:r>
      <w:r>
        <w:rPr>
          <w:rFonts w:hint="eastAsia"/>
        </w:rPr>
        <w:t>）重庆市根据实际情况补充其他规划编制依据。</w:t>
      </w:r>
    </w:p>
    <w:bookmarkEnd w:id="6"/>
    <w:p>
      <w:pPr>
        <w:ind w:firstLine="560"/>
        <w:contextualSpacing/>
      </w:pPr>
      <w:r>
        <w:rPr>
          <w:rFonts w:eastAsia="黑体"/>
          <w:kern w:val="44"/>
          <w:sz w:val="28"/>
          <w:szCs w:val="28"/>
        </w:rPr>
        <w:t>2.</w:t>
      </w:r>
      <w:r>
        <w:rPr>
          <w:rFonts w:hint="eastAsia" w:eastAsia="黑体"/>
          <w:kern w:val="44"/>
          <w:sz w:val="28"/>
          <w:szCs w:val="28"/>
        </w:rPr>
        <w:t>3</w:t>
      </w:r>
      <w:r>
        <w:rPr>
          <w:rFonts w:eastAsia="黑体"/>
          <w:kern w:val="44"/>
          <w:sz w:val="28"/>
          <w:szCs w:val="28"/>
        </w:rPr>
        <w:t>.</w:t>
      </w:r>
      <w:r>
        <w:rPr>
          <w:rFonts w:hint="eastAsia"/>
        </w:rPr>
        <w:t xml:space="preserve"> 行业规范</w:t>
      </w:r>
    </w:p>
    <w:p>
      <w:r>
        <w:rPr>
          <w:rFonts w:hint="eastAsia"/>
        </w:rPr>
        <w:t>（1）《城市通信工程规划规范》（GB/T 50853）</w:t>
      </w:r>
    </w:p>
    <w:p>
      <w:r>
        <w:rPr>
          <w:rFonts w:hint="eastAsia"/>
        </w:rPr>
        <w:t>（2）《重庆市电信通信工程规划导则（试行）》</w:t>
      </w:r>
    </w:p>
    <w:p>
      <w:r>
        <w:rPr>
          <w:rFonts w:hint="eastAsia"/>
        </w:rPr>
        <w:t>（3）《重庆市管线工程规划管理办法》</w:t>
      </w:r>
    </w:p>
    <w:p>
      <w:pPr>
        <w:ind w:firstLine="560"/>
      </w:pPr>
      <w:r>
        <w:rPr>
          <w:rFonts w:eastAsia="黑体"/>
          <w:kern w:val="44"/>
          <w:sz w:val="28"/>
          <w:szCs w:val="28"/>
        </w:rPr>
        <w:t>2.</w:t>
      </w:r>
      <w:r>
        <w:rPr>
          <w:rFonts w:hint="eastAsia" w:eastAsia="黑体"/>
          <w:kern w:val="44"/>
          <w:sz w:val="28"/>
          <w:szCs w:val="28"/>
        </w:rPr>
        <w:t>4</w:t>
      </w:r>
      <w:r>
        <w:rPr>
          <w:rFonts w:eastAsia="黑体"/>
          <w:kern w:val="44"/>
          <w:sz w:val="28"/>
          <w:szCs w:val="28"/>
        </w:rPr>
        <w:t>.</w:t>
      </w:r>
      <w:r>
        <w:rPr>
          <w:rFonts w:hint="eastAsia" w:eastAsia="黑体"/>
          <w:kern w:val="44"/>
          <w:sz w:val="28"/>
          <w:szCs w:val="28"/>
        </w:rPr>
        <w:t xml:space="preserve"> </w:t>
      </w:r>
      <w:r>
        <w:rPr>
          <w:rFonts w:hint="eastAsia"/>
        </w:rPr>
        <w:t>上位规划</w:t>
      </w:r>
    </w:p>
    <w:p>
      <w:r>
        <w:rPr>
          <w:rFonts w:hint="eastAsia"/>
        </w:rPr>
        <w:t>（1）《重庆市城乡总体规划（2007-2020年）》</w:t>
      </w:r>
    </w:p>
    <w:p>
      <w:r>
        <w:rPr>
          <w:rFonts w:hint="eastAsia"/>
        </w:rPr>
        <w:t>（2）《重庆市市域通信设施规划（2015-2020）》</w:t>
      </w:r>
    </w:p>
    <w:p>
      <w:r>
        <w:rPr>
          <w:rFonts w:hint="eastAsia"/>
        </w:rPr>
        <w:t>（3）《重庆市国民经济和社会发展第十三个五年规划纲要》</w:t>
      </w:r>
    </w:p>
    <w:p>
      <w:pPr>
        <w:ind w:firstLine="560"/>
        <w:contextualSpacing/>
      </w:pPr>
      <w:r>
        <w:rPr>
          <w:rFonts w:eastAsia="黑体"/>
          <w:kern w:val="44"/>
          <w:sz w:val="28"/>
          <w:szCs w:val="28"/>
        </w:rPr>
        <w:t>2.</w:t>
      </w:r>
      <w:r>
        <w:rPr>
          <w:rFonts w:hint="eastAsia" w:eastAsia="黑体"/>
          <w:kern w:val="44"/>
          <w:sz w:val="28"/>
          <w:szCs w:val="28"/>
        </w:rPr>
        <w:t>5</w:t>
      </w:r>
      <w:r>
        <w:rPr>
          <w:rFonts w:eastAsia="黑体"/>
          <w:kern w:val="44"/>
          <w:sz w:val="28"/>
          <w:szCs w:val="28"/>
        </w:rPr>
        <w:t>.</w:t>
      </w:r>
      <w:r>
        <w:rPr>
          <w:rFonts w:hint="eastAsia" w:eastAsia="黑体"/>
          <w:kern w:val="44"/>
          <w:sz w:val="28"/>
          <w:szCs w:val="28"/>
        </w:rPr>
        <w:t xml:space="preserve"> </w:t>
      </w:r>
      <w:r>
        <w:rPr>
          <w:rFonts w:hint="eastAsia"/>
        </w:rPr>
        <w:t>技术规范</w:t>
      </w:r>
    </w:p>
    <w:p>
      <w:pPr>
        <w:contextualSpacing/>
      </w:pPr>
      <w:r>
        <w:rPr>
          <w:rFonts w:hint="eastAsia"/>
        </w:rPr>
        <w:t>（</w:t>
      </w:r>
      <w:r>
        <w:t>1</w:t>
      </w:r>
      <w:r>
        <w:rPr>
          <w:rFonts w:hint="eastAsia"/>
        </w:rPr>
        <w:t>）《电信工程制图与图形符号规定》（YD/T 5015 -2015）</w:t>
      </w:r>
    </w:p>
    <w:p>
      <w:pPr>
        <w:contextualSpacing/>
      </w:pPr>
      <w:r>
        <w:rPr>
          <w:rFonts w:hint="eastAsia"/>
        </w:rPr>
        <w:t>（</w:t>
      </w:r>
      <w:r>
        <w:t>2</w:t>
      </w:r>
      <w:r>
        <w:rPr>
          <w:rFonts w:hint="eastAsia"/>
        </w:rPr>
        <w:t>）《移动通信天线通用技术规范》（GB/T 9410-2008）</w:t>
      </w:r>
    </w:p>
    <w:p>
      <w:r>
        <w:rPr>
          <w:rFonts w:hint="eastAsia"/>
        </w:rPr>
        <w:t>（</w:t>
      </w:r>
      <w:r>
        <w:t>3</w:t>
      </w:r>
      <w:r>
        <w:rPr>
          <w:rFonts w:hint="eastAsia"/>
        </w:rPr>
        <w:t>）</w:t>
      </w:r>
      <w:r>
        <w:t>《移动通信室内信号分布系统天线技术条件》（GB/T 21195-2007）；</w:t>
      </w:r>
    </w:p>
    <w:p>
      <w:r>
        <w:rPr>
          <w:rFonts w:hint="eastAsia"/>
        </w:rPr>
        <w:t>（</w:t>
      </w:r>
      <w:r>
        <w:t>4</w:t>
      </w:r>
      <w:r>
        <w:rPr>
          <w:rFonts w:hint="eastAsia"/>
        </w:rPr>
        <w:t>）</w:t>
      </w:r>
      <w:r>
        <w:t>《电信术语天线》（GB/T 14733.10-2008）；</w:t>
      </w:r>
    </w:p>
    <w:p>
      <w:r>
        <w:rPr>
          <w:rFonts w:hint="eastAsia"/>
        </w:rPr>
        <w:t>（</w:t>
      </w:r>
      <w:r>
        <w:t>5</w:t>
      </w:r>
      <w:r>
        <w:rPr>
          <w:rFonts w:hint="eastAsia"/>
        </w:rPr>
        <w:t>）</w:t>
      </w:r>
      <w:r>
        <w:t>《住宅区和住宅建筑内光纤到户通信设施工程设计规范》（GB 50846-2012）；</w:t>
      </w:r>
    </w:p>
    <w:p>
      <w:r>
        <w:rPr>
          <w:rFonts w:hint="eastAsia"/>
        </w:rPr>
        <w:t>（</w:t>
      </w:r>
      <w:r>
        <w:t>6</w:t>
      </w:r>
      <w:r>
        <w:rPr>
          <w:rFonts w:hint="eastAsia"/>
        </w:rPr>
        <w:t>）</w:t>
      </w:r>
      <w:r>
        <w:t>《电磁环境控制限值》（GB 8702-2014 ）；</w:t>
      </w:r>
    </w:p>
    <w:p>
      <w:r>
        <w:rPr>
          <w:rFonts w:hint="eastAsia"/>
        </w:rPr>
        <w:t>（</w:t>
      </w:r>
      <w:r>
        <w:t>7</w:t>
      </w:r>
      <w:r>
        <w:rPr>
          <w:rFonts w:hint="eastAsia"/>
        </w:rPr>
        <w:t>）</w:t>
      </w:r>
      <w:r>
        <w:t>《通信设备安装抗震设计图集》（YD 5060-2010）；</w:t>
      </w:r>
    </w:p>
    <w:p>
      <w:r>
        <w:rPr>
          <w:rFonts w:hint="eastAsia"/>
        </w:rPr>
        <w:t>（</w:t>
      </w:r>
      <w:r>
        <w:t>8</w:t>
      </w:r>
      <w:r>
        <w:rPr>
          <w:rFonts w:hint="eastAsia"/>
        </w:rPr>
        <w:t>）</w:t>
      </w:r>
      <w:r>
        <w:t>《通信建筑抗震设防分类标准》（YD 5054-2010）；</w:t>
      </w:r>
    </w:p>
    <w:p>
      <w:r>
        <w:rPr>
          <w:rFonts w:hint="eastAsia"/>
        </w:rPr>
        <w:t>（</w:t>
      </w:r>
      <w:r>
        <w:t>9</w:t>
      </w:r>
      <w:r>
        <w:rPr>
          <w:rFonts w:hint="eastAsia"/>
        </w:rPr>
        <w:t>）</w:t>
      </w:r>
      <w:r>
        <w:t>《电信基础设施共建共享工程技术暂行规定》（YD 5191-2009）；</w:t>
      </w:r>
    </w:p>
    <w:p>
      <w:r>
        <w:rPr>
          <w:rFonts w:hint="eastAsia"/>
        </w:rPr>
        <w:t>（1</w:t>
      </w:r>
      <w:r>
        <w:t>0</w:t>
      </w:r>
      <w:r>
        <w:rPr>
          <w:rFonts w:hint="eastAsia"/>
        </w:rPr>
        <w:t>）</w:t>
      </w:r>
      <w:r>
        <w:t>《电信专用房屋设计规范》(YD/T 5003-2014)；</w:t>
      </w:r>
    </w:p>
    <w:p>
      <w:pPr>
        <w:contextualSpacing/>
      </w:pPr>
      <w:r>
        <w:rPr>
          <w:rFonts w:hint="eastAsia"/>
        </w:rPr>
        <w:t>（1</w:t>
      </w:r>
      <w:r>
        <w:t>1</w:t>
      </w:r>
      <w:r>
        <w:rPr>
          <w:rFonts w:hint="eastAsia"/>
        </w:rPr>
        <w:t>）</w:t>
      </w:r>
      <w:r>
        <w:t>工业和信息化部标准《LTE FDD 数字蜂窝移动通信网基站设备技术要求（第一阶段）》(YD/T0373-2012)</w:t>
      </w:r>
    </w:p>
    <w:p>
      <w:r>
        <w:rPr>
          <w:rFonts w:hint="eastAsia"/>
        </w:rPr>
        <w:t>（1</w:t>
      </w:r>
      <w:r>
        <w:t>2</w:t>
      </w:r>
      <w:r>
        <w:rPr>
          <w:rFonts w:hint="eastAsia"/>
        </w:rPr>
        <w:t>）</w:t>
      </w:r>
      <w:r>
        <w:t>工业和信息化部标准《LTE FDD 数字蜂窝移动通信网基站设备测试方法（第一阶段）》(YD/T0374-2012)</w:t>
      </w:r>
    </w:p>
    <w:p>
      <w:pPr>
        <w:pStyle w:val="3"/>
        <w:numPr>
          <w:ilvl w:val="1"/>
          <w:numId w:val="7"/>
        </w:numPr>
        <w:contextualSpacing/>
      </w:pPr>
      <w:bookmarkStart w:id="7" w:name="_Toc19642564"/>
      <w:r>
        <w:rPr>
          <w:rFonts w:hint="eastAsia"/>
        </w:rPr>
        <w:t>规划目标</w:t>
      </w:r>
      <w:bookmarkEnd w:id="7"/>
    </w:p>
    <w:p>
      <w:pPr>
        <w:autoSpaceDE w:val="0"/>
        <w:autoSpaceDN w:val="0"/>
        <w:adjustRightInd w:val="0"/>
        <w:contextualSpacing/>
      </w:pPr>
      <w:r>
        <w:rPr>
          <w:rFonts w:hint="eastAsia"/>
        </w:rPr>
        <w:t>规范通信设施的建设行为，提高铜梁区中心城区、乡镇片区以及高速公路移动通信网络发展水平，实现规划区域无线网络信号的优质覆盖，确保铜梁中心城区、乡镇片区以及高速公路信息化与移动通讯网络发展水平保持领先地位。</w:t>
      </w:r>
    </w:p>
    <w:p>
      <w:pPr>
        <w:autoSpaceDE w:val="0"/>
        <w:autoSpaceDN w:val="0"/>
        <w:adjustRightInd w:val="0"/>
        <w:contextualSpacing/>
      </w:pPr>
      <w:r>
        <w:rPr>
          <w:rFonts w:hint="eastAsia"/>
        </w:rPr>
        <w:t>把通信设施建设纳入城乡规划统一管理，在规划期内，规范城乡规划中的移动通信基站规划编制和建设工作，合理有效的分配使用，满足不同运营商在不同时期的发展需求，最大限度的降低成本，提高城市通信基础资源和土地资源的利用率，提高人民群众通信信息水平，实现运营商之间、运营商和政府之间、运营商与通信用户之间的共赢，最终达到促进社会总体经济效益、人民生活水平的提高。</w:t>
      </w:r>
    </w:p>
    <w:p>
      <w:pPr>
        <w:numPr>
          <w:ilvl w:val="0"/>
          <w:numId w:val="8"/>
        </w:numPr>
        <w:contextualSpacing/>
      </w:pPr>
      <w:r>
        <w:rPr>
          <w:rFonts w:hint="eastAsia"/>
        </w:rPr>
        <w:t>满足需求：结合通信企业需求，统一规划、统一设计，紧密结合未来通信网络宽带化、智能化、个性化的发展趋势，以智慧城市的通信基础设施为建设目标，以创新的发展模式为导向，努力创建公平竞争、有序发展的通信设施建设环境，为全区用户提供丰富优质的通信服务。满足规划期末（2019-2025年）无线、宽带网络对全区有效覆盖面积覆盖要求。</w:t>
      </w:r>
    </w:p>
    <w:p>
      <w:pPr>
        <w:numPr>
          <w:ilvl w:val="0"/>
          <w:numId w:val="8"/>
        </w:numPr>
        <w:contextualSpacing/>
      </w:pPr>
      <w:r>
        <w:rPr>
          <w:rFonts w:hint="eastAsia"/>
        </w:rPr>
        <w:t>便于管理：通过合理的规划，使通信基础设施适应各区域的特点和功能布局。避免通信建设频繁报建和反复开挖，做到有序建设，可管可控。最终提供安全可靠、开放灵活、可扩展、可重新利用、充分适应新技术发展的宽带数字通信系统，高质量地满足区域快速发展的通信需求，提高城市竞争力，支撑本地区的持续快速发展。</w:t>
      </w:r>
    </w:p>
    <w:p>
      <w:pPr>
        <w:numPr>
          <w:ilvl w:val="0"/>
          <w:numId w:val="8"/>
        </w:numPr>
        <w:contextualSpacing/>
      </w:pPr>
      <w:r>
        <w:rPr>
          <w:rFonts w:hint="eastAsia"/>
        </w:rPr>
        <w:t>绿色低碳：满足建设资源节约型、环境友好型社会的要求，通过统一规划，促进通信基础设施和社会公共资源共建共享，节约土地、能源和降低原材料的消耗，保护自然环境和景观，减少重复建设，提高通信基础设施及社会公共资源利用率。</w:t>
      </w:r>
    </w:p>
    <w:p>
      <w:pPr>
        <w:pStyle w:val="3"/>
        <w:numPr>
          <w:ilvl w:val="1"/>
          <w:numId w:val="7"/>
        </w:numPr>
        <w:contextualSpacing/>
      </w:pPr>
      <w:bookmarkStart w:id="8" w:name="_Toc19642565"/>
      <w:r>
        <w:rPr>
          <w:rFonts w:hint="eastAsia"/>
        </w:rPr>
        <w:t>指导原则</w:t>
      </w:r>
      <w:bookmarkEnd w:id="8"/>
    </w:p>
    <w:p>
      <w:pPr>
        <w:contextualSpacing/>
      </w:pPr>
      <w:r>
        <w:rPr>
          <w:rFonts w:hint="eastAsia"/>
        </w:rPr>
        <w:t>将通信</w:t>
      </w:r>
      <w:r>
        <w:t>光缆、机房、基站、</w:t>
      </w:r>
      <w:r>
        <w:rPr>
          <w:rFonts w:hint="eastAsia"/>
        </w:rPr>
        <w:t>铁塔</w:t>
      </w:r>
      <w:r>
        <w:t>、管道线路</w:t>
      </w:r>
      <w:r>
        <w:rPr>
          <w:rFonts w:hint="eastAsia"/>
        </w:rPr>
        <w:t>等</w:t>
      </w:r>
      <w:r>
        <w:t>通信基础设施纳入城市规划是城乡规划法、电信条例的基本要求，是落实</w:t>
      </w:r>
      <w:r>
        <w:rPr>
          <w:rFonts w:hint="eastAsia"/>
        </w:rPr>
        <w:t>“网络强国”战略、“宽带</w:t>
      </w:r>
      <w:r>
        <w:t>中国</w:t>
      </w:r>
      <w:r>
        <w:rPr>
          <w:rFonts w:hint="eastAsia"/>
        </w:rPr>
        <w:t>”计划</w:t>
      </w:r>
      <w:r>
        <w:t>，构建下一代国家信息基础设施</w:t>
      </w:r>
      <w:r>
        <w:rPr>
          <w:rFonts w:hint="eastAsia"/>
        </w:rPr>
        <w:t>，</w:t>
      </w:r>
      <w:r>
        <w:t>全面推进信息化建设，促进信息消费的</w:t>
      </w:r>
      <w:r>
        <w:rPr>
          <w:rFonts w:hint="eastAsia"/>
        </w:rPr>
        <w:t>重要</w:t>
      </w:r>
      <w:r>
        <w:t>保障，是提升城市服务功能，提高城镇化发展质量的</w:t>
      </w:r>
      <w:r>
        <w:rPr>
          <w:rFonts w:hint="eastAsia"/>
        </w:rPr>
        <w:t>客观</w:t>
      </w:r>
      <w:r>
        <w:t>需要</w:t>
      </w:r>
      <w:r>
        <w:rPr>
          <w:rFonts w:hint="eastAsia"/>
        </w:rPr>
        <w:t>。</w:t>
      </w:r>
    </w:p>
    <w:p>
      <w:pPr>
        <w:contextualSpacing/>
      </w:pPr>
      <w:r>
        <w:rPr>
          <w:rFonts w:hint="eastAsia"/>
        </w:rPr>
        <w:t>铜梁</w:t>
      </w:r>
      <w:r>
        <w:t>区</w:t>
      </w:r>
      <w:r>
        <w:rPr>
          <w:rFonts w:hint="eastAsia"/>
          <w:lang w:val="en-US" w:eastAsia="zh-CN"/>
        </w:rPr>
        <w:t>5G</w:t>
      </w:r>
      <w:r>
        <w:t>通信设施规划作为城</w:t>
      </w:r>
      <w:r>
        <w:rPr>
          <w:rFonts w:hint="eastAsia"/>
        </w:rPr>
        <w:t>乡建设</w:t>
      </w:r>
      <w:r>
        <w:t>规划的</w:t>
      </w:r>
      <w:r>
        <w:rPr>
          <w:rFonts w:hint="eastAsia"/>
        </w:rPr>
        <w:t>重要</w:t>
      </w:r>
      <w:r>
        <w:t>组成部分，符合国家的建设方针和政策。本规划作为城</w:t>
      </w:r>
      <w:r>
        <w:rPr>
          <w:rFonts w:hint="eastAsia"/>
        </w:rPr>
        <w:t>乡</w:t>
      </w:r>
      <w:r>
        <w:t>建设总体规划的下位规划，</w:t>
      </w:r>
      <w:r>
        <w:rPr>
          <w:rFonts w:hint="eastAsia"/>
        </w:rPr>
        <w:t>严格遵循</w:t>
      </w:r>
      <w:r>
        <w:t>城</w:t>
      </w:r>
      <w:r>
        <w:rPr>
          <w:rFonts w:hint="eastAsia"/>
        </w:rPr>
        <w:t>乡建设</w:t>
      </w:r>
      <w:r>
        <w:t>总体规划，从空间和时序上促进城</w:t>
      </w:r>
      <w:r>
        <w:rPr>
          <w:rFonts w:hint="eastAsia"/>
        </w:rPr>
        <w:t>乡</w:t>
      </w:r>
      <w:r>
        <w:t>发展与各项建设协同进行。</w:t>
      </w:r>
    </w:p>
    <w:p>
      <w:pPr>
        <w:contextualSpacing/>
      </w:pPr>
      <w:r>
        <w:t>同时贯彻落实国家通信业</w:t>
      </w:r>
      <w:r>
        <w:rPr>
          <w:rFonts w:hint="eastAsia"/>
          <w:lang w:eastAsia="zh-CN"/>
        </w:rPr>
        <w:t>“十三五”规划</w:t>
      </w:r>
      <w:r>
        <w:t>行业发展思路，以提升</w:t>
      </w:r>
      <w:r>
        <w:rPr>
          <w:rFonts w:hint="eastAsia"/>
        </w:rPr>
        <w:t>铜梁</w:t>
      </w:r>
      <w:r>
        <w:t>区通信基础设施能力、服务经济社会发展为主线，以打造符合城</w:t>
      </w:r>
      <w:r>
        <w:rPr>
          <w:rFonts w:hint="eastAsia"/>
        </w:rPr>
        <w:t>乡</w:t>
      </w:r>
      <w:r>
        <w:t>发展进程的绿色、先进、文明、和谐的下一代信息通信网络为目标，以将通信基础设施建设纳入到城</w:t>
      </w:r>
      <w:r>
        <w:rPr>
          <w:rFonts w:hint="eastAsia"/>
        </w:rPr>
        <w:t>乡</w:t>
      </w:r>
      <w:r>
        <w:t>基础设施建设范畴为契机，科学规划、统筹部署，着力推进城</w:t>
      </w:r>
      <w:r>
        <w:rPr>
          <w:rFonts w:hint="eastAsia"/>
        </w:rPr>
        <w:t>乡</w:t>
      </w:r>
      <w:r>
        <w:t>基础设施领域共建共享</w:t>
      </w:r>
      <w:r>
        <w:rPr>
          <w:rFonts w:hint="eastAsia"/>
        </w:rPr>
        <w:t>。</w:t>
      </w:r>
    </w:p>
    <w:p>
      <w:pPr>
        <w:pStyle w:val="3"/>
        <w:numPr>
          <w:ilvl w:val="1"/>
          <w:numId w:val="7"/>
        </w:numPr>
        <w:contextualSpacing/>
      </w:pPr>
      <w:bookmarkStart w:id="9" w:name="_Toc19642566"/>
      <w:r>
        <w:rPr>
          <w:rFonts w:hint="eastAsia"/>
        </w:rPr>
        <w:t>规划思路</w:t>
      </w:r>
      <w:bookmarkEnd w:id="9"/>
    </w:p>
    <w:p>
      <w:pPr>
        <w:contextualSpacing/>
      </w:pPr>
      <w:r>
        <w:t>规划紧密结合</w:t>
      </w:r>
      <w:r>
        <w:rPr>
          <w:rFonts w:hint="eastAsia"/>
        </w:rPr>
        <w:t>铜梁</w:t>
      </w:r>
      <w:r>
        <w:t>区城</w:t>
      </w:r>
      <w:r>
        <w:rPr>
          <w:rFonts w:hint="eastAsia"/>
        </w:rPr>
        <w:t>乡</w:t>
      </w:r>
      <w:r>
        <w:t>总体发展规划，与国家和地方通信业总体规划</w:t>
      </w:r>
      <w:r>
        <w:rPr>
          <w:rFonts w:hint="eastAsia"/>
        </w:rPr>
        <w:t>相</w:t>
      </w:r>
      <w:r>
        <w:t>协调，与</w:t>
      </w:r>
      <w:r>
        <w:rPr>
          <w:rFonts w:hint="eastAsia"/>
        </w:rPr>
        <w:t>铜梁</w:t>
      </w:r>
      <w:r>
        <w:t>区发展规划的总体布局的基础设施建设规划同步，放开眼光，拓宽思路，</w:t>
      </w:r>
      <w:r>
        <w:rPr>
          <w:rFonts w:hint="eastAsia"/>
        </w:rPr>
        <w:t>确保</w:t>
      </w:r>
      <w:r>
        <w:t>通信基础设施规划的协调性和战略性。</w:t>
      </w:r>
    </w:p>
    <w:p>
      <w:pPr>
        <w:pStyle w:val="4"/>
        <w:numPr>
          <w:ilvl w:val="2"/>
          <w:numId w:val="7"/>
        </w:numPr>
      </w:pPr>
      <w:bookmarkStart w:id="10" w:name="_Toc1928559"/>
      <w:bookmarkStart w:id="11" w:name="_Toc19642567"/>
      <w:bookmarkStart w:id="12" w:name="_Hlk1762576"/>
      <w:r>
        <w:rPr>
          <w:rFonts w:hint="eastAsia"/>
        </w:rPr>
        <w:t>面向政府建立对接机制</w:t>
      </w:r>
      <w:bookmarkEnd w:id="10"/>
      <w:bookmarkEnd w:id="11"/>
    </w:p>
    <w:p>
      <w:pPr>
        <w:contextualSpacing/>
      </w:pPr>
      <w:r>
        <w:rPr>
          <w:rFonts w:hint="eastAsia"/>
        </w:rPr>
        <w:t>制定对接机制，明确对接人员及沟通方式，便于及时反馈相关信息，对接城乡规划要求、获取公共绿地资源，重点发展区域等城市发展信息，协调政府共同引导电信企业需求与建设节奏。具体原则如下：</w:t>
      </w:r>
    </w:p>
    <w:p>
      <w:pPr>
        <w:numPr>
          <w:ilvl w:val="0"/>
          <w:numId w:val="9"/>
        </w:numPr>
        <w:contextualSpacing/>
      </w:pPr>
      <w:r>
        <w:rPr>
          <w:rFonts w:hint="eastAsia"/>
        </w:rPr>
        <w:t>合规性原则：在开展5G建设中，结合铜梁城市规划局、通信管理局的要求为前提。对于发现违反通信设施建设的行为，及时向通管局沟通反馈，并协助跟踪解决。</w:t>
      </w:r>
    </w:p>
    <w:p>
      <w:pPr>
        <w:numPr>
          <w:ilvl w:val="0"/>
          <w:numId w:val="9"/>
        </w:numPr>
        <w:contextualSpacing/>
      </w:pPr>
      <w:r>
        <w:rPr>
          <w:rFonts w:hint="eastAsia"/>
        </w:rPr>
        <w:t>互利互赢原则：积极落实政府要求，深化合作，相互支持，助力城市信息基础设施水平提升。在城乡发展中把握机遇，主动衔接城乡发展规划，积极借力政府环境营造，获取可用资源。</w:t>
      </w:r>
    </w:p>
    <w:p>
      <w:pPr>
        <w:pStyle w:val="4"/>
        <w:numPr>
          <w:ilvl w:val="2"/>
          <w:numId w:val="7"/>
        </w:numPr>
        <w:rPr>
          <w:rFonts w:eastAsia="宋体"/>
          <w:kern w:val="2"/>
          <w:sz w:val="24"/>
          <w:szCs w:val="24"/>
        </w:rPr>
      </w:pPr>
      <w:bookmarkStart w:id="13" w:name="_Toc1928560"/>
      <w:bookmarkStart w:id="14" w:name="_Toc19642568"/>
      <w:r>
        <w:rPr>
          <w:rFonts w:hint="eastAsia"/>
        </w:rPr>
        <w:t>面向电信企业建立对接机制</w:t>
      </w:r>
      <w:bookmarkEnd w:id="13"/>
      <w:bookmarkEnd w:id="14"/>
    </w:p>
    <w:p>
      <w:pPr>
        <w:contextualSpacing/>
      </w:pPr>
      <w:r>
        <w:rPr>
          <w:rFonts w:hint="eastAsia"/>
        </w:rPr>
        <w:t>紧跟客户4G、5G发展思路及建设节奏，重庆铁塔合川分公司通过与铜梁移动、铜梁电信、铜梁联通三家运营商建立联合规划机制，在充分调研各家运营商的4G、5G发展思路以及建设节奏的基础上，通过将4G、5G站址规划纳入“城乡规划”进行统筹规划，结合实际条件，分场景制定通信基础网络配套建设方案，为客户提供优质的站址资源以及多、快、好、省的综合解决方案，从而推动重庆铁塔合川分公司4G、5G站址建设需求的获取。</w:t>
      </w:r>
    </w:p>
    <w:p>
      <w:pPr>
        <w:contextualSpacing/>
      </w:pPr>
      <w:r>
        <w:rPr>
          <w:rFonts w:hint="eastAsia"/>
        </w:rPr>
        <w:t>重庆铁塔合川</w:t>
      </w:r>
      <w:r>
        <w:rPr>
          <w:rFonts w:hint="eastAsia"/>
          <w:lang w:val="en-US" w:eastAsia="zh-CN"/>
        </w:rPr>
        <w:t>分</w:t>
      </w:r>
      <w:r>
        <w:rPr>
          <w:rFonts w:hint="eastAsia"/>
        </w:rPr>
        <w:t>公司围绕以下原则开展与运营商的对接工作：</w:t>
      </w:r>
    </w:p>
    <w:p>
      <w:pPr>
        <w:numPr>
          <w:ilvl w:val="0"/>
          <w:numId w:val="10"/>
        </w:numPr>
        <w:contextualSpacing/>
      </w:pPr>
      <w:r>
        <w:rPr>
          <w:rFonts w:hint="eastAsia"/>
        </w:rPr>
        <w:t>统筹建立联合机构。重庆铁塔合川分公司主动与通信管理部门对接，以通信管理部门牵头，联合电信企业共同组建“5G规划设计技术委员会”，主要对区县的4G、5G规划编制及建设工作进行统筹管理和指导，协调解决规划编制与建设实施过程中的问题；对规划与建设成果进行审查；</w:t>
      </w:r>
    </w:p>
    <w:p>
      <w:pPr>
        <w:numPr>
          <w:ilvl w:val="0"/>
          <w:numId w:val="10"/>
        </w:numPr>
        <w:contextualSpacing/>
      </w:pPr>
      <w:r>
        <w:rPr>
          <w:rFonts w:hint="eastAsia"/>
        </w:rPr>
        <w:t>快速响应：强化服务意识，提前介入预规划阶段，及时收集需求、存量信息，快速提供服务响应；</w:t>
      </w:r>
    </w:p>
    <w:p>
      <w:pPr>
        <w:numPr>
          <w:ilvl w:val="0"/>
          <w:numId w:val="10"/>
        </w:numPr>
        <w:contextualSpacing/>
      </w:pPr>
      <w:r>
        <w:rPr>
          <w:rFonts w:hint="eastAsia"/>
        </w:rPr>
        <w:t>高效整合：结合存量站及社会资源整合资源，深化共享，降低成本，提升资源利用率；</w:t>
      </w:r>
    </w:p>
    <w:p>
      <w:pPr>
        <w:numPr>
          <w:ilvl w:val="0"/>
          <w:numId w:val="10"/>
        </w:numPr>
        <w:contextualSpacing/>
      </w:pPr>
      <w:r>
        <w:rPr>
          <w:rFonts w:hint="eastAsia"/>
        </w:rPr>
        <w:t>创新管理：依托信息化管理系统，理顺内外部流程，提高服务效率；</w:t>
      </w:r>
    </w:p>
    <w:p>
      <w:pPr>
        <w:numPr>
          <w:ilvl w:val="0"/>
          <w:numId w:val="10"/>
        </w:numPr>
        <w:contextualSpacing/>
      </w:pPr>
      <w:r>
        <w:rPr>
          <w:rFonts w:hint="eastAsia"/>
        </w:rPr>
        <w:t>技术导向：探索新技术，鼓励创新，引导产业链良性发展。</w:t>
      </w:r>
    </w:p>
    <w:p>
      <w:pPr>
        <w:numPr>
          <w:ilvl w:val="0"/>
          <w:numId w:val="10"/>
        </w:numPr>
        <w:contextualSpacing/>
      </w:pPr>
      <w:r>
        <w:rPr>
          <w:rFonts w:hint="eastAsia"/>
        </w:rPr>
        <w:t>推动规划落地：主动衔接城乡发展规划，将4G、5G站址规划纳入政府城乡建设规划中，积极借力政府拓展市场，将政策要求转化为营销措施，引导政府出台相关文件协助5G需求选址工作落地，保障建设实施可控性。</w:t>
      </w:r>
    </w:p>
    <w:p>
      <w:pPr>
        <w:pStyle w:val="4"/>
        <w:numPr>
          <w:ilvl w:val="2"/>
          <w:numId w:val="7"/>
        </w:numPr>
      </w:pPr>
      <w:bookmarkStart w:id="15" w:name="_Toc1928563"/>
      <w:bookmarkStart w:id="16" w:name="_Toc19642569"/>
      <w:r>
        <w:rPr>
          <w:rFonts w:hint="eastAsia"/>
        </w:rPr>
        <w:t>站址规划</w:t>
      </w:r>
      <w:bookmarkEnd w:id="15"/>
      <w:bookmarkEnd w:id="16"/>
    </w:p>
    <w:p>
      <w:pPr>
        <w:contextualSpacing/>
      </w:pPr>
      <w:r>
        <w:rPr>
          <w:rFonts w:hint="eastAsia"/>
        </w:rPr>
        <w:t>立足通信共享发展，将</w:t>
      </w:r>
      <w:r>
        <w:rPr>
          <w:rFonts w:hint="eastAsia"/>
          <w:lang w:val="en-US" w:eastAsia="zh-CN"/>
        </w:rPr>
        <w:t>5G</w:t>
      </w:r>
      <w:r>
        <w:rPr>
          <w:rFonts w:hint="eastAsia"/>
        </w:rPr>
        <w:t>通信设施的站址规划嵌入综合解决方案进行统筹规划，形成前瞻性综合解决整体方案，按难易程度分阶段实施，充分利用存量资源和社会资源，主要工作内容：</w:t>
      </w:r>
    </w:p>
    <w:p>
      <w:pPr>
        <w:numPr>
          <w:ilvl w:val="0"/>
          <w:numId w:val="11"/>
        </w:numPr>
        <w:contextualSpacing/>
      </w:pPr>
      <w:r>
        <w:rPr>
          <w:rFonts w:hint="eastAsia"/>
        </w:rPr>
        <w:t>结合网络覆盖需求及资源清查结果，结合建设难易程度，主动对接电信企业，引导和制定分阶段实施计划；</w:t>
      </w:r>
    </w:p>
    <w:p>
      <w:pPr>
        <w:numPr>
          <w:ilvl w:val="0"/>
          <w:numId w:val="11"/>
        </w:numPr>
        <w:contextualSpacing/>
      </w:pPr>
      <w:r>
        <w:rPr>
          <w:rFonts w:hint="eastAsia"/>
        </w:rPr>
        <w:t>对共享改造难度大或无法共享改造的站点，应与电信企业提前沟通，建议采取可用资源高低结合多样化手段综合解决或新建方式满足覆盖需求；</w:t>
      </w:r>
    </w:p>
    <w:p>
      <w:pPr>
        <w:numPr>
          <w:ilvl w:val="0"/>
          <w:numId w:val="11"/>
        </w:numPr>
        <w:contextualSpacing/>
      </w:pPr>
      <w:r>
        <w:rPr>
          <w:rFonts w:hint="eastAsia"/>
        </w:rPr>
        <w:t>采取新建方式时要优先考虑利用社会资源，变“社会塔”为“通信塔”；应充分利用建（构）筑物楼面、墙面，路灯杆，监控杆，电力塔等社会资源建设，满足5G挂载需求；</w:t>
      </w:r>
    </w:p>
    <w:p>
      <w:pPr>
        <w:numPr>
          <w:ilvl w:val="0"/>
          <w:numId w:val="11"/>
        </w:numPr>
        <w:contextualSpacing/>
      </w:pPr>
      <w:r>
        <w:rPr>
          <w:rFonts w:hint="eastAsia"/>
        </w:rPr>
        <w:t>5G建网初期仍将是</w:t>
      </w:r>
      <w:r>
        <w:rPr>
          <w:rFonts w:hint="eastAsia"/>
          <w:lang w:val="en-US" w:eastAsia="zh-CN"/>
        </w:rPr>
        <w:t>室外站</w:t>
      </w:r>
      <w:r>
        <w:rPr>
          <w:rFonts w:hint="eastAsia"/>
        </w:rPr>
        <w:t>广覆盖先行，但与2/3/4G不同，将主要是针对县城、景区、高速、高铁、工业园区等场景的区域，先进行区域网格的广覆盖。5G的频率要远高于4G，也就是说5G的基站密度要远大于4G。而且由于5G的性能参数要求比较严苛，更加大了5G基站的建站密度。各运营商的5G建站密度是4G基站密度的1.7~3.2倍左右。未来5G网络“宏微协同、室内外结合”的形态更加明显。</w:t>
      </w:r>
    </w:p>
    <w:p>
      <w:pPr>
        <w:pStyle w:val="4"/>
        <w:numPr>
          <w:ilvl w:val="2"/>
          <w:numId w:val="7"/>
        </w:numPr>
      </w:pPr>
      <w:bookmarkStart w:id="17" w:name="_Toc1928565"/>
      <w:bookmarkStart w:id="18" w:name="_Toc19642570"/>
      <w:r>
        <w:rPr>
          <w:rFonts w:hint="eastAsia"/>
        </w:rPr>
        <w:t>组织实施</w:t>
      </w:r>
      <w:bookmarkEnd w:id="17"/>
      <w:bookmarkEnd w:id="18"/>
    </w:p>
    <w:p>
      <w:pPr>
        <w:contextualSpacing/>
      </w:pPr>
      <w:r>
        <w:rPr>
          <w:rFonts w:hint="eastAsia"/>
        </w:rPr>
        <w:t>统一进场，同步实施，减少重复上站次数，满足电信企业快速交付需求，主要工作内容：</w:t>
      </w:r>
    </w:p>
    <w:p>
      <w:pPr>
        <w:numPr>
          <w:ilvl w:val="0"/>
          <w:numId w:val="12"/>
        </w:numPr>
        <w:contextualSpacing/>
      </w:pPr>
      <w:r>
        <w:rPr>
          <w:rFonts w:hint="eastAsia"/>
        </w:rPr>
        <w:t>有策略地主动实施，提前储备存量满足站址；</w:t>
      </w:r>
    </w:p>
    <w:p>
      <w:pPr>
        <w:numPr>
          <w:ilvl w:val="0"/>
          <w:numId w:val="12"/>
        </w:numPr>
        <w:contextualSpacing/>
      </w:pPr>
      <w:r>
        <w:rPr>
          <w:rFonts w:hint="eastAsia"/>
        </w:rPr>
        <w:t>提升物业协调能力，加快选址；</w:t>
      </w:r>
    </w:p>
    <w:p>
      <w:pPr>
        <w:numPr>
          <w:ilvl w:val="0"/>
          <w:numId w:val="12"/>
        </w:numPr>
        <w:contextualSpacing/>
      </w:pPr>
      <w:r>
        <w:rPr>
          <w:rFonts w:hint="eastAsia"/>
        </w:rPr>
        <w:t>提前主动做好设计方案、施工论证，加快基站建设进度；</w:t>
      </w:r>
    </w:p>
    <w:p>
      <w:pPr>
        <w:numPr>
          <w:ilvl w:val="0"/>
          <w:numId w:val="12"/>
        </w:numPr>
        <w:contextualSpacing/>
      </w:pPr>
      <w:r>
        <w:rPr>
          <w:rFonts w:hint="eastAsia"/>
        </w:rPr>
        <w:t>提前建立专项物资储备，加快物资调配运转；</w:t>
      </w:r>
    </w:p>
    <w:p>
      <w:pPr>
        <w:numPr>
          <w:ilvl w:val="0"/>
          <w:numId w:val="12"/>
        </w:numPr>
        <w:contextualSpacing/>
      </w:pPr>
      <w:r>
        <w:rPr>
          <w:rFonts w:hint="eastAsia"/>
        </w:rPr>
        <w:t>满足工期要求，保证工艺质量和强化安全生产</w:t>
      </w:r>
      <w:bookmarkEnd w:id="12"/>
      <w:r>
        <w:rPr>
          <w:rFonts w:hint="eastAsia"/>
        </w:rPr>
        <w:t>。</w:t>
      </w:r>
    </w:p>
    <w:p>
      <w:pPr>
        <w:pStyle w:val="2"/>
        <w:contextualSpacing/>
      </w:pPr>
      <w:bookmarkStart w:id="19" w:name="_Toc19642571"/>
      <w:r>
        <w:rPr>
          <w:rFonts w:hint="eastAsia"/>
        </w:rPr>
        <w:t>铜梁区城市规划范围</w:t>
      </w:r>
      <w:bookmarkEnd w:id="19"/>
    </w:p>
    <w:p>
      <w:pPr>
        <w:pStyle w:val="4"/>
        <w:numPr>
          <w:ilvl w:val="1"/>
          <w:numId w:val="13"/>
        </w:numPr>
      </w:pPr>
      <w:bookmarkStart w:id="20" w:name="_Toc19642572"/>
      <w:r>
        <w:rPr>
          <w:rFonts w:hint="eastAsia"/>
        </w:rPr>
        <w:t>规划范围</w:t>
      </w:r>
      <w:bookmarkEnd w:id="20"/>
    </w:p>
    <w:p>
      <w:r>
        <w:rPr>
          <w:rFonts w:hint="eastAsia"/>
        </w:rPr>
        <w:t>重庆铜梁区位于长江上游地区、重庆西北部。地处东经105°46′22″至106°16′40″、北纬29°31′10″至30°5′55″之间。西南靠大足区，东北连合川区，南接永川区，西北邻潼南区，东南毗邻璧山区，南北长62公里，东西宽约48公里，幅员面积1343平方公里。辖5个街道、23个镇。为巴川街道办事处、东城街道办事处、南城街道办事处、蒲吕街道办事处、旧县街道办事处、土桥镇、二坪镇、水口镇、安居镇、白羊镇、平滩镇、虎峰镇、福果镇、石鱼镇、少云镇、高楼镇、维新镇、大庙镇、围龙镇、华兴镇、永嘉镇、西河镇、安溪镇、侣俸镇、太平镇、双山镇、小林镇、庆隆镇；333个行政村（社区）。本次规划范围为铜梁全区。</w:t>
      </w:r>
    </w:p>
    <w:p>
      <w:r>
        <w:rPr>
          <w:rFonts w:hint="eastAsia"/>
        </w:rPr>
        <w:t>规划人口规模</w:t>
      </w:r>
    </w:p>
    <w:p>
      <w:pPr>
        <w:rPr>
          <w:color w:val="000000"/>
        </w:rPr>
      </w:pPr>
      <w:r>
        <w:rPr>
          <w:rFonts w:hint="eastAsia"/>
          <w:color w:val="000000"/>
        </w:rPr>
        <w:t>201</w:t>
      </w:r>
      <w:r>
        <w:rPr>
          <w:rFonts w:hint="eastAsia"/>
          <w:color w:val="000000"/>
          <w:lang w:val="en-US" w:eastAsia="zh-CN"/>
        </w:rPr>
        <w:t>8</w:t>
      </w:r>
      <w:r>
        <w:rPr>
          <w:rFonts w:hint="eastAsia"/>
          <w:color w:val="000000"/>
        </w:rPr>
        <w:t>年末，铜梁区常住人口72.60万人。其中，城镇常住人口41.07万人，农村常住人口31.53万人。城镇化率56.57%，比上年提高1.77个百分点</w:t>
      </w:r>
      <w:r>
        <w:rPr>
          <w:color w:val="000000"/>
        </w:rPr>
        <w:t>。户籍</w:t>
      </w:r>
      <w:r>
        <w:rPr>
          <w:rFonts w:hint="default"/>
          <w:color w:val="000000"/>
        </w:rPr>
        <w:t>人口总户数</w:t>
      </w:r>
      <w:r>
        <w:rPr>
          <w:rFonts w:hint="eastAsia"/>
          <w:color w:val="000000"/>
        </w:rPr>
        <w:t>32.</w:t>
      </w:r>
      <w:r>
        <w:rPr>
          <w:rFonts w:hint="default"/>
          <w:color w:val="000000"/>
        </w:rPr>
        <w:t>97万户，总人口85.11万人，比上年增加</w:t>
      </w:r>
      <w:r>
        <w:rPr>
          <w:rFonts w:hint="eastAsia"/>
          <w:color w:val="000000"/>
        </w:rPr>
        <w:t>0.</w:t>
      </w:r>
      <w:r>
        <w:rPr>
          <w:rFonts w:hint="default"/>
          <w:color w:val="000000"/>
        </w:rPr>
        <w:t>14万人。其中，城镇人口39.77万人，乡村人口45.34万人。按人口年龄结构分，</w:t>
      </w:r>
      <w:r>
        <w:rPr>
          <w:rFonts w:hint="eastAsia"/>
          <w:color w:val="000000"/>
        </w:rPr>
        <w:t>0-17岁</w:t>
      </w:r>
      <w:r>
        <w:rPr>
          <w:rFonts w:hint="default"/>
          <w:color w:val="000000"/>
        </w:rPr>
        <w:t>14.88万人，</w:t>
      </w:r>
      <w:r>
        <w:rPr>
          <w:rFonts w:hint="eastAsia"/>
          <w:color w:val="000000"/>
        </w:rPr>
        <w:t>18-34岁17.</w:t>
      </w:r>
      <w:r>
        <w:rPr>
          <w:rFonts w:hint="default"/>
          <w:color w:val="000000"/>
        </w:rPr>
        <w:t>30万人，</w:t>
      </w:r>
      <w:r>
        <w:rPr>
          <w:rFonts w:hint="eastAsia"/>
          <w:color w:val="000000"/>
        </w:rPr>
        <w:t>35-59岁</w:t>
      </w:r>
      <w:r>
        <w:rPr>
          <w:rFonts w:hint="default"/>
          <w:color w:val="000000"/>
        </w:rPr>
        <w:t>33.17万人，</w:t>
      </w:r>
      <w:r>
        <w:rPr>
          <w:rFonts w:hint="eastAsia"/>
          <w:color w:val="000000"/>
        </w:rPr>
        <w:t>60岁及以上19.</w:t>
      </w:r>
      <w:r>
        <w:rPr>
          <w:rFonts w:hint="default"/>
          <w:color w:val="000000"/>
        </w:rPr>
        <w:t>76万人。按性别分，男性</w:t>
      </w:r>
      <w:r>
        <w:rPr>
          <w:rFonts w:hint="eastAsia"/>
          <w:color w:val="000000"/>
        </w:rPr>
        <w:t>43.</w:t>
      </w:r>
      <w:r>
        <w:rPr>
          <w:rFonts w:hint="default"/>
          <w:color w:val="000000"/>
        </w:rPr>
        <w:t>69万人，女性</w:t>
      </w:r>
      <w:r>
        <w:rPr>
          <w:rFonts w:hint="eastAsia"/>
          <w:color w:val="000000"/>
        </w:rPr>
        <w:t>41.</w:t>
      </w:r>
      <w:r>
        <w:rPr>
          <w:rFonts w:hint="default"/>
          <w:color w:val="000000"/>
        </w:rPr>
        <w:t>41万人。全区人口性别比（以女性为</w:t>
      </w:r>
      <w:r>
        <w:rPr>
          <w:rFonts w:hint="eastAsia"/>
          <w:color w:val="000000"/>
        </w:rPr>
        <w:t>100，男性对女性的比例）10</w:t>
      </w:r>
      <w:r>
        <w:rPr>
          <w:rFonts w:hint="default"/>
          <w:color w:val="000000"/>
        </w:rPr>
        <w:t>5.5，其中出生婴儿性别比108.2。全区人口出生率9.99‰，死亡率7.95‰，人口自然增长率2.04‰</w:t>
      </w:r>
      <w:r>
        <w:rPr>
          <w:color w:val="000000"/>
        </w:rPr>
        <w:t>。</w:t>
      </w:r>
    </w:p>
    <w:p>
      <w:pPr>
        <w:pStyle w:val="5"/>
        <w:numPr>
          <w:ilvl w:val="2"/>
          <w:numId w:val="13"/>
        </w:numPr>
      </w:pPr>
      <w:r>
        <w:rPr>
          <w:rFonts w:hint="eastAsia"/>
        </w:rPr>
        <w:t>城市发展目标</w:t>
      </w:r>
    </w:p>
    <w:p>
      <w:pPr>
        <w:rPr>
          <w:color w:val="000000"/>
        </w:rPr>
      </w:pPr>
      <w:r>
        <w:rPr>
          <w:rFonts w:hint="eastAsia"/>
          <w:color w:val="000000"/>
        </w:rPr>
        <w:t>重庆铜梁区全面落实党的十九大精神，统筹推进“五位一体”总体布局和协调推进“四个全面”战略布局，努力实现更高质量、更有效率、更加公平、更可持续的发展。</w:t>
      </w:r>
    </w:p>
    <w:p>
      <w:pPr>
        <w:rPr>
          <w:color w:val="000000"/>
        </w:rPr>
      </w:pPr>
      <w:r>
        <w:rPr>
          <w:rFonts w:hint="eastAsia"/>
          <w:color w:val="000000"/>
        </w:rPr>
        <w:t>坚持以大数据智能化为引领的创新驱动发展战略行动计划、军民融合发展战略行动计划为统领，以增加有效供给为着力点，转变方式，优化结构，转换动力，推动工业高质量发展。铜梁地理条件优越，乡村振兴大有可为。要全面实施乡村振兴战略行动计划，加快推进农业农村现代化。铜梁山水环绕，生态宜人。要大力实施生态优先绿色发展行动计划，努力把铜梁建成山清水秀美丽之地。夯实城乡融合发展基础。推进全区城乡融合发展，基础设施是短板。要大力实施基础设施建设提升行动计划，促进城乡各美其美、美美与共。一是建设山水城市。树立“精明增长”理念，坚持产城景互动融合，一体推进城市功能、风貌、业态打造，满足群众日益增长的宜居需要。新建一批公厕，增设一批公交站亭、停车场库，加强市政设施维护升级，让市民更加舒适舒心。加快智慧城市建设，规范物业管理，整治违法建筑，继续坚定推进全国文明城区创建，让城市管理更加精细化、智能化、人性化。二是培育特色小镇。鼓励各镇街完善规划布局，加强功能配套，培育产业支撑，因地制宜改变集镇面貌。实施重大水源工程，推进水、大气、土壤、重点污染源等全方位环保监测监控系统建设，建成生态环保监管网络大数据平台。完善城乡通信设施，推动4G网络向自然村延伸，达到光纤到户。</w:t>
      </w:r>
      <w:r>
        <w:rPr>
          <w:color w:val="000000"/>
        </w:rPr>
        <w:t>成功创建全国卫生城市、市级山水园林城市和森林城市，成为全国文明</w:t>
      </w:r>
      <w:r>
        <w:rPr>
          <w:rFonts w:hint="eastAsia"/>
          <w:color w:val="000000"/>
        </w:rPr>
        <w:t>城区</w:t>
      </w:r>
      <w:r>
        <w:rPr>
          <w:color w:val="000000"/>
        </w:rPr>
        <w:t>城市。</w:t>
      </w:r>
    </w:p>
    <w:p>
      <w:pPr>
        <w:pStyle w:val="4"/>
        <w:numPr>
          <w:ilvl w:val="1"/>
          <w:numId w:val="13"/>
        </w:numPr>
      </w:pPr>
      <w:bookmarkStart w:id="21" w:name="_Toc19642573"/>
      <w:r>
        <w:rPr>
          <w:rFonts w:hint="eastAsia"/>
        </w:rPr>
        <w:t>铜梁区城市总体规划</w:t>
      </w:r>
      <w:bookmarkEnd w:id="21"/>
    </w:p>
    <w:p>
      <w:pPr>
        <w:pStyle w:val="5"/>
        <w:numPr>
          <w:ilvl w:val="2"/>
          <w:numId w:val="13"/>
        </w:numPr>
      </w:pPr>
      <w:r>
        <w:rPr>
          <w:rFonts w:hint="eastAsia"/>
        </w:rPr>
        <w:t>通信规划目标</w:t>
      </w:r>
    </w:p>
    <w:p>
      <w:pPr>
        <w:contextualSpacing/>
      </w:pPr>
      <w:r>
        <w:rPr>
          <w:rFonts w:hint="eastAsia"/>
        </w:rPr>
        <w:t>合川铁塔公司</w:t>
      </w:r>
      <w:r>
        <w:t>牵头统筹电信、移动、联通三家运营商公网和政务专网的建设需求，统一规划通信基础设施，共享集约，高标准、支撑电信、移动、联通三家运营商对</w:t>
      </w:r>
      <w:r>
        <w:rPr>
          <w:rFonts w:hint="eastAsia"/>
        </w:rPr>
        <w:t>城市热点区、高速、重点商业场所、工业</w:t>
      </w:r>
      <w:r>
        <w:t>园区及周边重要道路</w:t>
      </w:r>
      <w:r>
        <w:rPr>
          <w:rFonts w:hint="eastAsia"/>
        </w:rPr>
        <w:t>的</w:t>
      </w:r>
      <w:r>
        <w:t>4G和5G网络的全面覆盖，有力保障政府部门指挥调度、安防监控等需求，高质量、高效率推进移动通信基础设施建设。加快通信业持续、快速、协调发展，促进资源合理利用，构建高效融合、绿色安全的智能信息网络，建设全面感知、泛在互联、高度智能的智慧城市，打造城市</w:t>
      </w:r>
      <w:r>
        <w:rPr>
          <w:rFonts w:hint="eastAsia"/>
        </w:rPr>
        <w:t>综合</w:t>
      </w:r>
      <w:r>
        <w:t>发展</w:t>
      </w:r>
      <w:r>
        <w:rPr>
          <w:rFonts w:hint="eastAsia"/>
        </w:rPr>
        <w:t>，建立</w:t>
      </w:r>
      <w:r>
        <w:t>新区信息港</w:t>
      </w:r>
      <w:r>
        <w:rPr>
          <w:rFonts w:hint="eastAsia"/>
        </w:rPr>
        <w:t>及</w:t>
      </w:r>
      <w:r>
        <w:t>新农村示范区</w:t>
      </w:r>
      <w:r>
        <w:rPr>
          <w:rFonts w:hint="eastAsia"/>
        </w:rPr>
        <w:t>，实现“</w:t>
      </w:r>
      <w:r>
        <w:t>互联网+物联网</w:t>
      </w:r>
      <w:r>
        <w:rPr>
          <w:rFonts w:hint="eastAsia"/>
        </w:rPr>
        <w:t>”强国战略</w:t>
      </w:r>
      <w:r>
        <w:t>。</w:t>
      </w:r>
    </w:p>
    <w:p>
      <w:pPr>
        <w:pStyle w:val="5"/>
        <w:numPr>
          <w:ilvl w:val="2"/>
          <w:numId w:val="13"/>
        </w:numPr>
      </w:pPr>
      <w:r>
        <w:rPr>
          <w:rFonts w:hint="eastAsia"/>
        </w:rPr>
        <w:t>通信规划原则</w:t>
      </w:r>
    </w:p>
    <w:p>
      <w:pPr>
        <w:numPr>
          <w:ilvl w:val="0"/>
          <w:numId w:val="14"/>
        </w:numPr>
        <w:contextualSpacing/>
      </w:pPr>
      <w:r>
        <w:rPr>
          <w:rFonts w:hint="eastAsia"/>
        </w:rPr>
        <w:t>通信基础设施规划应充分体现统筹规划，完善机制；分层推进，协调发展；立足应用，智慧发展；保障安全，注重实效的原则；</w:t>
      </w:r>
    </w:p>
    <w:p>
      <w:pPr>
        <w:pStyle w:val="42"/>
        <w:numPr>
          <w:ilvl w:val="0"/>
          <w:numId w:val="14"/>
        </w:numPr>
        <w:ind w:firstLineChars="0"/>
      </w:pPr>
      <w:r>
        <w:rPr>
          <w:rFonts w:hint="eastAsia"/>
        </w:rPr>
        <w:t>适应规划管理需要，具有指导性和可操作性。</w:t>
      </w:r>
    </w:p>
    <w:p>
      <w:pPr>
        <w:pStyle w:val="5"/>
        <w:numPr>
          <w:ilvl w:val="0"/>
          <w:numId w:val="0"/>
        </w:numPr>
      </w:pPr>
      <w:r>
        <w:rPr>
          <w:rFonts w:hint="eastAsia"/>
        </w:rPr>
        <w:t>3.2.3 通信规划主要措施</w:t>
      </w:r>
    </w:p>
    <w:p>
      <w:pPr>
        <w:numPr>
          <w:ilvl w:val="0"/>
          <w:numId w:val="15"/>
        </w:numPr>
        <w:contextualSpacing/>
      </w:pPr>
      <w:r>
        <w:t>综合考虑土地利用规划和各种通信业务的发展需求</w:t>
      </w:r>
      <w:r>
        <w:rPr>
          <w:rFonts w:hint="eastAsia"/>
        </w:rPr>
        <w:t>，</w:t>
      </w:r>
      <w:r>
        <w:t>合理布置通信局所和服务网点；打破企业自成体系的局面，预留综合通信发展备用地</w:t>
      </w:r>
      <w:r>
        <w:rPr>
          <w:rFonts w:hint="eastAsia"/>
        </w:rPr>
        <w:t>；</w:t>
      </w:r>
    </w:p>
    <w:p>
      <w:pPr>
        <w:numPr>
          <w:ilvl w:val="0"/>
          <w:numId w:val="15"/>
        </w:numPr>
        <w:contextualSpacing/>
      </w:pPr>
      <w:r>
        <w:t>综合考虑弱电通信的发展需求，建设联合通信网络</w:t>
      </w:r>
      <w:r>
        <w:rPr>
          <w:rFonts w:hint="eastAsia"/>
        </w:rPr>
        <w:t>；</w:t>
      </w:r>
    </w:p>
    <w:p>
      <w:pPr>
        <w:numPr>
          <w:ilvl w:val="0"/>
          <w:numId w:val="15"/>
        </w:numPr>
        <w:contextualSpacing/>
      </w:pPr>
      <w:r>
        <w:t>健全各类基站、无线电发射和接收设施，加强无线电空域管理</w:t>
      </w:r>
      <w:r>
        <w:rPr>
          <w:rFonts w:hint="eastAsia"/>
        </w:rPr>
        <w:t>；</w:t>
      </w:r>
    </w:p>
    <w:p>
      <w:pPr>
        <w:numPr>
          <w:ilvl w:val="0"/>
          <w:numId w:val="15"/>
        </w:numPr>
        <w:contextualSpacing/>
      </w:pPr>
      <w:r>
        <w:t>促进网络融合，实现资源化配置和信息共享；构建高效融合、绿色安全的新一代智</w:t>
      </w:r>
      <w:r>
        <w:rPr>
          <w:rFonts w:hint="eastAsia"/>
        </w:rPr>
        <w:t>能信息网络，全面建设智慧旅游城市；</w:t>
      </w:r>
    </w:p>
    <w:p>
      <w:pPr>
        <w:numPr>
          <w:ilvl w:val="0"/>
          <w:numId w:val="15"/>
        </w:numPr>
        <w:contextualSpacing/>
      </w:pPr>
      <w:r>
        <w:rPr>
          <w:rFonts w:hint="eastAsia"/>
        </w:rPr>
        <w:t>将通信基础设施与城市建设同步规划、同步实施、同步验收；</w:t>
      </w:r>
    </w:p>
    <w:p>
      <w:pPr>
        <w:numPr>
          <w:ilvl w:val="0"/>
          <w:numId w:val="15"/>
        </w:numPr>
        <w:contextualSpacing/>
      </w:pPr>
      <w:r>
        <w:rPr>
          <w:rFonts w:hint="eastAsia"/>
        </w:rPr>
        <w:t>铁塔公司统筹规划最主要的亮点在于主动预判站址资源，而不是单纯的被动接收电信企业需求，主动预判主要来源于两个方面：</w:t>
      </w:r>
    </w:p>
    <w:p>
      <w:pPr>
        <w:numPr>
          <w:ilvl w:val="0"/>
          <w:numId w:val="16"/>
        </w:numPr>
        <w:ind w:firstLine="60" w:firstLineChars="0"/>
        <w:contextualSpacing/>
        <w:jc w:val="both"/>
      </w:pPr>
      <w:r>
        <w:rPr>
          <w:rFonts w:hint="eastAsia"/>
        </w:rPr>
        <w:t>一方面是基于电信企业现有网络数据分析之后所做出的结构性优化，通过对电信企业路测数据、日常网络质量引起的投诉工单、话务流量数据热点分布等多维度进行分析定位，结合无线网络仿真技术进行补盲；</w:t>
      </w:r>
    </w:p>
    <w:p>
      <w:pPr>
        <w:numPr>
          <w:ilvl w:val="0"/>
          <w:numId w:val="17"/>
        </w:numPr>
        <w:ind w:firstLine="60" w:firstLineChars="0"/>
        <w:contextualSpacing/>
      </w:pPr>
      <w:r>
        <w:rPr>
          <w:rFonts w:hint="eastAsia"/>
        </w:rPr>
        <w:t>另一方面是基于城乡发展的目标网络站址布局，通过分析不同电信企业网络发展策略和建网思路，结合市政控制性详细规划，利用链路预算得出的科学理论站间距，提前部署目标站址。</w:t>
      </w:r>
    </w:p>
    <w:p>
      <w:pPr>
        <w:numPr>
          <w:ilvl w:val="0"/>
          <w:numId w:val="18"/>
        </w:numPr>
        <w:ind w:firstLine="60" w:firstLineChars="0"/>
        <w:contextualSpacing/>
      </w:pPr>
      <w:r>
        <w:rPr>
          <w:rFonts w:hint="eastAsia"/>
        </w:rPr>
        <w:t>最终通过现场预查勘对规划方案进行调整，将规划结果作为通信基础设施专项纳入城乡总体规划，使得目标网站址具备了落地实施条件。</w:t>
      </w:r>
    </w:p>
    <w:p>
      <w:pPr>
        <w:contextualSpacing/>
      </w:pPr>
    </w:p>
    <w:p>
      <w:pPr>
        <w:pStyle w:val="2"/>
        <w:contextualSpacing/>
      </w:pPr>
      <w:bookmarkStart w:id="22" w:name="_Toc19642574"/>
      <w:r>
        <w:rPr>
          <w:rFonts w:hint="eastAsia"/>
        </w:rPr>
        <w:t>铜梁区通信基础设施分析</w:t>
      </w:r>
      <w:bookmarkEnd w:id="22"/>
    </w:p>
    <w:p>
      <w:pPr>
        <w:pStyle w:val="4"/>
        <w:numPr>
          <w:ilvl w:val="1"/>
          <w:numId w:val="19"/>
        </w:numPr>
      </w:pPr>
      <w:bookmarkStart w:id="23" w:name="_Toc19642575"/>
      <w:r>
        <w:rPr>
          <w:rFonts w:hint="eastAsia"/>
        </w:rPr>
        <w:t>铜梁区通信业务发展现状</w:t>
      </w:r>
      <w:bookmarkEnd w:id="23"/>
    </w:p>
    <w:p>
      <w:pPr>
        <w:contextualSpacing/>
        <w:rPr>
          <w:color w:val="000000"/>
        </w:rPr>
      </w:pPr>
      <w:r>
        <w:rPr>
          <w:color w:val="000000"/>
        </w:rPr>
        <w:t>近年来，</w:t>
      </w:r>
      <w:r>
        <w:rPr>
          <w:rFonts w:hint="eastAsia"/>
          <w:color w:val="000000"/>
        </w:rPr>
        <w:t>铜梁</w:t>
      </w:r>
      <w:r>
        <w:rPr>
          <w:color w:val="000000"/>
        </w:rPr>
        <w:t>区大力推进国民经济和社会信息化，取得了显著成效。</w:t>
      </w:r>
    </w:p>
    <w:p>
      <w:pPr>
        <w:numPr>
          <w:ilvl w:val="0"/>
          <w:numId w:val="20"/>
        </w:numPr>
        <w:contextualSpacing/>
      </w:pPr>
      <w:r>
        <w:t>信息与通信网络等基础设施快速发展，服务水平不断提高。</w:t>
      </w:r>
    </w:p>
    <w:p>
      <w:r>
        <w:rPr>
          <w:rFonts w:hint="eastAsia"/>
        </w:rPr>
        <w:t>年末固定电话用户10.84万户，增长4.9%；年末移动电话用户72.51万户，增长15.6%。移动、联通、电信互联网用户18.91万户，增长43.1%。全市行政村光纤通达率达到100%。</w:t>
      </w:r>
    </w:p>
    <w:p>
      <w:pPr>
        <w:numPr>
          <w:ilvl w:val="0"/>
          <w:numId w:val="20"/>
        </w:numPr>
        <w:contextualSpacing/>
      </w:pPr>
      <w:r>
        <w:t>信息与通信服务业务成为</w:t>
      </w:r>
      <w:r>
        <w:rPr>
          <w:rFonts w:hint="eastAsia"/>
        </w:rPr>
        <w:t>铜梁</w:t>
      </w:r>
      <w:r>
        <w:t>区经济发展的重要组成部分。</w:t>
      </w:r>
    </w:p>
    <w:p>
      <w:pPr>
        <w:ind w:left="240" w:leftChars="100" w:firstLine="240" w:firstLineChars="100"/>
        <w:contextualSpacing/>
      </w:pPr>
      <w:r>
        <w:rPr>
          <w:rFonts w:hint="eastAsia"/>
        </w:rPr>
        <w:t>2018年，铜梁区完成邮电业务收入5.59亿元，增长11.4%。铜梁</w:t>
      </w:r>
      <w:r>
        <w:t>区主要信息与通信业务发展情况如下表4.1</w:t>
      </w:r>
      <w:r>
        <w:rPr>
          <w:rFonts w:hint="eastAsia"/>
        </w:rPr>
        <w:t>.1</w:t>
      </w:r>
      <w:r>
        <w:t>-1所示：</w:t>
      </w:r>
    </w:p>
    <w:p>
      <w:pPr>
        <w:ind w:firstLine="420"/>
        <w:contextualSpacing/>
        <w:jc w:val="center"/>
        <w:rPr>
          <w:sz w:val="21"/>
          <w:szCs w:val="21"/>
        </w:rPr>
      </w:pPr>
      <w:r>
        <w:rPr>
          <w:rFonts w:hint="eastAsia"/>
          <w:sz w:val="21"/>
          <w:szCs w:val="21"/>
        </w:rPr>
        <w:t>表4.1.1-1  铜梁区信息与通信业务发展概况表</w:t>
      </w:r>
    </w:p>
    <w:tbl>
      <w:tblPr>
        <w:tblStyle w:val="2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4435"/>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167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序号</w:t>
            </w:r>
          </w:p>
        </w:tc>
        <w:tc>
          <w:tcPr>
            <w:tcW w:w="4435"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指标名称</w:t>
            </w:r>
          </w:p>
        </w:tc>
        <w:tc>
          <w:tcPr>
            <w:tcW w:w="3471"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167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4435" w:type="dxa"/>
            <w:shd w:val="clear" w:color="auto" w:fill="auto"/>
            <w:vAlign w:val="center"/>
          </w:tcPr>
          <w:p>
            <w:pPr>
              <w:ind w:firstLine="0" w:firstLineChars="0"/>
              <w:jc w:val="center"/>
              <w:rPr>
                <w:rFonts w:ascii="宋体" w:hAnsi="宋体" w:cs="宋体"/>
                <w:kern w:val="0"/>
                <w:sz w:val="21"/>
                <w:szCs w:val="21"/>
              </w:rPr>
            </w:pPr>
            <w:r>
              <w:rPr>
                <w:rFonts w:ascii="宋体" w:hAnsi="宋体" w:cs="宋体"/>
                <w:kern w:val="0"/>
                <w:sz w:val="21"/>
                <w:szCs w:val="21"/>
              </w:rPr>
              <w:t>电信营业收入</w:t>
            </w:r>
          </w:p>
        </w:tc>
        <w:tc>
          <w:tcPr>
            <w:tcW w:w="3471" w:type="dxa"/>
            <w:shd w:val="clear" w:color="auto" w:fill="auto"/>
            <w:vAlign w:val="center"/>
          </w:tcPr>
          <w:p>
            <w:pPr>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5.59亿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167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4435" w:type="dxa"/>
            <w:shd w:val="clear" w:color="auto" w:fill="auto"/>
            <w:vAlign w:val="center"/>
          </w:tcPr>
          <w:p>
            <w:pPr>
              <w:ind w:firstLine="0" w:firstLineChars="0"/>
              <w:jc w:val="center"/>
              <w:rPr>
                <w:rFonts w:ascii="宋体" w:hAnsi="宋体" w:cs="宋体"/>
                <w:kern w:val="0"/>
                <w:sz w:val="21"/>
                <w:szCs w:val="21"/>
              </w:rPr>
            </w:pPr>
            <w:r>
              <w:rPr>
                <w:rFonts w:ascii="宋体" w:hAnsi="宋体" w:cs="宋体"/>
                <w:kern w:val="0"/>
                <w:sz w:val="21"/>
                <w:szCs w:val="21"/>
              </w:rPr>
              <w:t>全</w:t>
            </w:r>
            <w:r>
              <w:rPr>
                <w:rFonts w:hint="eastAsia" w:ascii="宋体" w:hAnsi="宋体" w:cs="宋体"/>
                <w:kern w:val="0"/>
                <w:sz w:val="21"/>
                <w:szCs w:val="21"/>
              </w:rPr>
              <w:t>区</w:t>
            </w:r>
            <w:r>
              <w:rPr>
                <w:rFonts w:ascii="宋体" w:hAnsi="宋体" w:cs="宋体"/>
                <w:kern w:val="0"/>
                <w:sz w:val="21"/>
                <w:szCs w:val="21"/>
              </w:rPr>
              <w:t>电话用户数</w:t>
            </w:r>
          </w:p>
        </w:tc>
        <w:tc>
          <w:tcPr>
            <w:tcW w:w="3471" w:type="dxa"/>
            <w:shd w:val="clear" w:color="auto" w:fill="auto"/>
            <w:vAlign w:val="center"/>
          </w:tcPr>
          <w:p>
            <w:pPr>
              <w:ind w:firstLine="0" w:firstLineChars="0"/>
              <w:jc w:val="center"/>
              <w:rPr>
                <w:rFonts w:ascii="宋体" w:hAnsi="宋体" w:cs="宋体"/>
                <w:kern w:val="0"/>
                <w:sz w:val="21"/>
                <w:szCs w:val="21"/>
              </w:rPr>
            </w:pPr>
            <w:r>
              <w:rPr>
                <w:rFonts w:hint="eastAsia" w:ascii="宋体" w:hAnsi="宋体" w:cs="宋体"/>
                <w:kern w:val="0"/>
                <w:sz w:val="21"/>
                <w:szCs w:val="21"/>
              </w:rPr>
              <w:t>83.35</w:t>
            </w:r>
            <w:r>
              <w:rPr>
                <w:rFonts w:ascii="宋体" w:hAnsi="宋体" w:cs="宋体"/>
                <w:kern w:val="0"/>
                <w:sz w:val="21"/>
                <w:szCs w:val="21"/>
              </w:rPr>
              <w:t>万户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167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4435" w:type="dxa"/>
            <w:shd w:val="clear" w:color="auto" w:fill="auto"/>
            <w:vAlign w:val="center"/>
          </w:tcPr>
          <w:p>
            <w:pPr>
              <w:ind w:firstLine="0" w:firstLineChars="0"/>
              <w:jc w:val="center"/>
              <w:rPr>
                <w:rFonts w:ascii="宋体" w:hAnsi="宋体" w:cs="宋体"/>
                <w:kern w:val="0"/>
                <w:sz w:val="21"/>
                <w:szCs w:val="21"/>
              </w:rPr>
            </w:pPr>
            <w:r>
              <w:rPr>
                <w:rFonts w:ascii="宋体" w:hAnsi="宋体" w:cs="宋体"/>
                <w:kern w:val="0"/>
                <w:sz w:val="21"/>
                <w:szCs w:val="21"/>
              </w:rPr>
              <w:t>固定电话用户数</w:t>
            </w:r>
          </w:p>
        </w:tc>
        <w:tc>
          <w:tcPr>
            <w:tcW w:w="3471" w:type="dxa"/>
            <w:shd w:val="clear" w:color="auto" w:fill="auto"/>
            <w:vAlign w:val="center"/>
          </w:tcPr>
          <w:p>
            <w:pPr>
              <w:ind w:firstLine="0" w:firstLineChars="0"/>
              <w:jc w:val="center"/>
              <w:rPr>
                <w:rFonts w:ascii="宋体" w:hAnsi="宋体" w:cs="宋体"/>
                <w:kern w:val="0"/>
                <w:sz w:val="21"/>
                <w:szCs w:val="21"/>
              </w:rPr>
            </w:pPr>
            <w:r>
              <w:rPr>
                <w:rFonts w:hint="eastAsia" w:ascii="宋体" w:hAnsi="宋体" w:cs="宋体"/>
                <w:kern w:val="0"/>
                <w:sz w:val="21"/>
                <w:szCs w:val="21"/>
              </w:rPr>
              <w:t>10.84</w:t>
            </w:r>
            <w:r>
              <w:rPr>
                <w:rFonts w:ascii="宋体" w:hAnsi="宋体" w:cs="宋体"/>
                <w:kern w:val="0"/>
                <w:sz w:val="21"/>
                <w:szCs w:val="21"/>
              </w:rPr>
              <w:t>万户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167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4435" w:type="dxa"/>
            <w:shd w:val="clear" w:color="auto" w:fill="auto"/>
            <w:vAlign w:val="center"/>
          </w:tcPr>
          <w:p>
            <w:pPr>
              <w:ind w:firstLine="0" w:firstLineChars="0"/>
              <w:jc w:val="center"/>
              <w:rPr>
                <w:rFonts w:ascii="宋体" w:hAnsi="宋体" w:cs="宋体"/>
                <w:kern w:val="0"/>
                <w:sz w:val="21"/>
                <w:szCs w:val="21"/>
              </w:rPr>
            </w:pPr>
            <w:r>
              <w:rPr>
                <w:rFonts w:ascii="宋体" w:hAnsi="宋体" w:cs="宋体"/>
                <w:kern w:val="0"/>
                <w:sz w:val="21"/>
                <w:szCs w:val="21"/>
              </w:rPr>
              <w:t>移动电话用户数</w:t>
            </w:r>
          </w:p>
        </w:tc>
        <w:tc>
          <w:tcPr>
            <w:tcW w:w="3471" w:type="dxa"/>
            <w:shd w:val="clear" w:color="auto" w:fill="auto"/>
            <w:vAlign w:val="center"/>
          </w:tcPr>
          <w:p>
            <w:pPr>
              <w:ind w:firstLine="0" w:firstLineChars="0"/>
              <w:jc w:val="center"/>
              <w:rPr>
                <w:rFonts w:ascii="宋体" w:hAnsi="宋体" w:cs="宋体"/>
                <w:kern w:val="0"/>
                <w:sz w:val="21"/>
                <w:szCs w:val="21"/>
              </w:rPr>
            </w:pPr>
            <w:r>
              <w:rPr>
                <w:rFonts w:hint="eastAsia" w:ascii="宋体" w:hAnsi="宋体" w:cs="宋体"/>
                <w:kern w:val="0"/>
                <w:sz w:val="21"/>
                <w:szCs w:val="21"/>
              </w:rPr>
              <w:t>72.51</w:t>
            </w:r>
            <w:r>
              <w:rPr>
                <w:rFonts w:ascii="宋体" w:hAnsi="宋体" w:cs="宋体"/>
                <w:kern w:val="0"/>
                <w:sz w:val="21"/>
                <w:szCs w:val="21"/>
              </w:rPr>
              <w:t>万户</w:t>
            </w:r>
          </w:p>
        </w:tc>
      </w:tr>
    </w:tbl>
    <w:p>
      <w:pPr>
        <w:pStyle w:val="4"/>
        <w:numPr>
          <w:ilvl w:val="1"/>
          <w:numId w:val="19"/>
        </w:numPr>
      </w:pPr>
      <w:bookmarkStart w:id="24" w:name="_Toc19642576"/>
      <w:bookmarkStart w:id="25" w:name="_Toc462760529"/>
      <w:bookmarkStart w:id="26" w:name="_Toc423011052"/>
      <w:r>
        <w:rPr>
          <w:rFonts w:hint="eastAsia"/>
        </w:rPr>
        <w:t>铜梁区通信网络基站现状</w:t>
      </w:r>
      <w:bookmarkEnd w:id="24"/>
      <w:bookmarkEnd w:id="25"/>
      <w:bookmarkEnd w:id="26"/>
    </w:p>
    <w:p>
      <w:pPr>
        <w:rPr>
          <w:rFonts w:eastAsia="仿宋"/>
        </w:rPr>
      </w:pPr>
      <w:r>
        <w:rPr>
          <w:rFonts w:hint="eastAsia"/>
        </w:rPr>
        <w:t>目前，铜梁区域通信运营商的通信网络基本实现城区、重点道路、城中村、景区、高速、高铁等重点区域及公共场所的覆盖，城区及周边的4G网络覆盖率基本达到100%，4G网络覆盖广度和深度，行政村4G网络覆盖到2019年达到100%。通信运营商4G现网数据如下：</w:t>
      </w:r>
    </w:p>
    <w:p>
      <w:pPr>
        <w:numPr>
          <w:ilvl w:val="0"/>
          <w:numId w:val="21"/>
        </w:numPr>
        <w:contextualSpacing/>
      </w:pPr>
      <w:r>
        <w:rPr>
          <w:rFonts w:hint="eastAsia"/>
        </w:rPr>
        <w:t>铜梁</w:t>
      </w:r>
      <w:r>
        <w:t>移动</w:t>
      </w:r>
      <w:r>
        <w:rPr>
          <w:rFonts w:hint="eastAsia"/>
        </w:rPr>
        <w:t>：现有</w:t>
      </w:r>
      <w:r>
        <w:t>4G网络基站</w:t>
      </w:r>
      <w:r>
        <w:rPr>
          <w:rFonts w:hint="eastAsia"/>
        </w:rPr>
        <w:t>及室内分布系统1176个，4G网络覆盖率达99.59%；</w:t>
      </w:r>
    </w:p>
    <w:p>
      <w:pPr>
        <w:numPr>
          <w:ilvl w:val="0"/>
          <w:numId w:val="21"/>
        </w:numPr>
        <w:contextualSpacing/>
      </w:pPr>
      <w:r>
        <w:rPr>
          <w:rFonts w:hint="eastAsia"/>
        </w:rPr>
        <w:t>铜梁</w:t>
      </w:r>
      <w:r>
        <w:t>联通：</w:t>
      </w:r>
      <w:r>
        <w:rPr>
          <w:rFonts w:hint="eastAsia"/>
        </w:rPr>
        <w:t>现有</w:t>
      </w:r>
      <w:r>
        <w:t>4G网络基站</w:t>
      </w:r>
      <w:r>
        <w:rPr>
          <w:rFonts w:hint="eastAsia"/>
        </w:rPr>
        <w:t>及室内分布系统540个，4G网络覆盖率达90.6%</w:t>
      </w:r>
      <w:r>
        <w:t>；</w:t>
      </w:r>
    </w:p>
    <w:p>
      <w:pPr>
        <w:numPr>
          <w:ilvl w:val="0"/>
          <w:numId w:val="21"/>
        </w:numPr>
        <w:contextualSpacing/>
      </w:pPr>
      <w:r>
        <w:rPr>
          <w:rFonts w:hint="eastAsia"/>
        </w:rPr>
        <w:t>铜梁电信：现有</w:t>
      </w:r>
      <w:r>
        <w:t>4G网络基站</w:t>
      </w:r>
      <w:r>
        <w:rPr>
          <w:rFonts w:hint="eastAsia"/>
        </w:rPr>
        <w:t>及室内分布系统590个，4G网络覆盖率达92%；</w:t>
      </w:r>
    </w:p>
    <w:p>
      <w:pPr>
        <w:numPr>
          <w:ilvl w:val="0"/>
          <w:numId w:val="21"/>
        </w:numPr>
        <w:contextualSpacing/>
      </w:pPr>
      <w:bookmarkStart w:id="27" w:name="_Toc423011054"/>
      <w:bookmarkStart w:id="28" w:name="_Toc462760530"/>
      <w:r>
        <w:rPr>
          <w:rFonts w:hint="eastAsia"/>
        </w:rPr>
        <w:t>铜梁铁塔：现有物理基站站址1135个，现有通信铁塔 1116座，其中：楼面塔344座，20米以上地面铁塔654座，20米以下简易117座；现有微站20个，其中：杆塔2个，利用社会资源塔2个，楼面站16个；现有</w:t>
      </w:r>
      <w:r>
        <w:rPr>
          <w:rFonts w:hint="eastAsia"/>
          <w:lang w:val="en-US" w:eastAsia="zh-CN"/>
        </w:rPr>
        <w:t>室内分布</w:t>
      </w:r>
      <w:r>
        <w:rPr>
          <w:rFonts w:hint="eastAsia"/>
        </w:rPr>
        <w:t>站点68个，覆盖面积2.1平方公里，现有220个存量基站机房，其中县城区域84个，其他区域136个，分布在铜梁区主城区及各大乡镇农村，现状区域内通信局房覆盖能力基本满足，但随着5G建设布局加快，现有城区通信局房和机房数量远无法满足要求。</w:t>
      </w:r>
    </w:p>
    <w:p>
      <w:pPr>
        <w:pStyle w:val="4"/>
        <w:numPr>
          <w:ilvl w:val="1"/>
          <w:numId w:val="19"/>
        </w:numPr>
      </w:pPr>
      <w:bookmarkStart w:id="29" w:name="_Toc19642577"/>
      <w:bookmarkStart w:id="30" w:name="_Toc1928572"/>
      <w:r>
        <w:rPr>
          <w:rFonts w:hint="eastAsia"/>
        </w:rPr>
        <w:t>铜梁区通信基础网络存在问题</w:t>
      </w:r>
      <w:bookmarkEnd w:id="29"/>
    </w:p>
    <w:p>
      <w:pPr>
        <w:pStyle w:val="42"/>
        <w:snapToGrid/>
        <w:ind w:firstLine="480"/>
        <w:rPr>
          <w:lang w:val="en-US"/>
        </w:rPr>
      </w:pPr>
      <w:r>
        <w:rPr>
          <w:lang w:val="en-US"/>
        </w:rPr>
        <w:t>随着通信技术的蓬勃发展，我国已进入国际</w:t>
      </w:r>
      <w:r>
        <w:rPr>
          <w:rFonts w:hint="eastAsia"/>
          <w:lang w:val="en-US"/>
        </w:rPr>
        <w:t>通信</w:t>
      </w:r>
      <w:r>
        <w:rPr>
          <w:lang w:val="en-US"/>
        </w:rPr>
        <w:t>先进行列。通信基站作为通信网络的基础设施，在通信业的发展当中发挥着十分重要的作用，尤其是</w:t>
      </w:r>
      <w:r>
        <w:rPr>
          <w:rFonts w:hint="eastAsia"/>
          <w:lang w:val="en-US"/>
        </w:rPr>
        <w:t>进入</w:t>
      </w:r>
      <w:r>
        <w:rPr>
          <w:lang w:val="en-US"/>
        </w:rPr>
        <w:t>4G 网络</w:t>
      </w:r>
      <w:r>
        <w:rPr>
          <w:rFonts w:hint="eastAsia"/>
          <w:lang w:val="en-US"/>
        </w:rPr>
        <w:t>时代</w:t>
      </w:r>
      <w:r>
        <w:rPr>
          <w:lang w:val="en-US"/>
        </w:rPr>
        <w:t>，移动互联</w:t>
      </w:r>
      <w:r>
        <w:rPr>
          <w:rFonts w:hint="eastAsia"/>
          <w:lang w:val="en-US"/>
        </w:rPr>
        <w:t>网</w:t>
      </w:r>
      <w:r>
        <w:rPr>
          <w:lang w:val="en-US"/>
        </w:rPr>
        <w:t>和智能手机广泛普及，越来越多的人们享受到信息发达所带来的便利。但目前传统宏基站和室内分布系统建设在物业协调、配套建设、深度和精确覆盖、扩容改造等方面具有局限性，特别是新增站址、复杂建筑的覆盖比较困难，</w:t>
      </w:r>
      <w:r>
        <w:rPr>
          <w:rFonts w:hint="eastAsia"/>
          <w:lang w:val="en-US"/>
        </w:rPr>
        <w:t>不能</w:t>
      </w:r>
      <w:r>
        <w:rPr>
          <w:lang w:val="en-US"/>
        </w:rPr>
        <w:t>满足人民</w:t>
      </w:r>
      <w:r>
        <w:rPr>
          <w:rFonts w:hint="eastAsia"/>
          <w:lang w:val="en-US"/>
        </w:rPr>
        <w:t>群众</w:t>
      </w:r>
      <w:r>
        <w:rPr>
          <w:lang w:val="en-US"/>
        </w:rPr>
        <w:t>对网络应用的需</w:t>
      </w:r>
      <w:r>
        <w:rPr>
          <w:rFonts w:hint="eastAsia"/>
          <w:lang w:val="en-US"/>
        </w:rPr>
        <w:t>要</w:t>
      </w:r>
      <w:r>
        <w:rPr>
          <w:lang w:val="en-US"/>
        </w:rPr>
        <w:t>。</w:t>
      </w:r>
    </w:p>
    <w:p>
      <w:pPr>
        <w:ind w:left="480" w:leftChars="200" w:firstLine="0" w:firstLineChars="0"/>
        <w:contextualSpacing/>
      </w:pPr>
      <w:r>
        <w:rPr>
          <w:rFonts w:hint="eastAsia"/>
        </w:rPr>
        <w:t>(1) 基站建设越来越困难</w:t>
      </w:r>
    </w:p>
    <w:p>
      <w:pPr>
        <w:contextualSpacing/>
      </w:pPr>
      <w:r>
        <w:rPr>
          <w:rFonts w:hint="eastAsia"/>
        </w:rPr>
        <w:t>移动通信基站的建设在2015年以前均为通信企业</w:t>
      </w:r>
      <w:r>
        <w:rPr>
          <w:rFonts w:hint="eastAsia"/>
          <w:color w:val="000000"/>
        </w:rPr>
        <w:t>各自主导，极少合作共建共享</w:t>
      </w:r>
      <w:r>
        <w:rPr>
          <w:rFonts w:hint="eastAsia"/>
        </w:rPr>
        <w:t>，造成大量的重复建设和资源浪费。2015年成立的铁塔公司全面实施基站基础设施建设的统筹协调，以此杜绝资源的浪费，实现基站集约化建设目标。在科学合理规划基站站址布局时，报刊、杂志、电视、网络等媒体又经常爆出大量夸大基站电磁辐射危害的言论，严重误导了普通民众对基站的认识，导致群众对基站产生了恐惧和排斥心理，居民一方面要求通信信号质量好，一方面又反对基站建在自家门前，这种思想严重阻碍了正常的基站建设进度。因此，部分现网基站被逼迁和新建基站选址困难的问题日益突出</w:t>
      </w:r>
      <w:r>
        <w:t>。</w:t>
      </w:r>
    </w:p>
    <w:p>
      <w:pPr>
        <w:ind w:left="480" w:leftChars="200" w:firstLine="0" w:firstLineChars="0"/>
        <w:contextualSpacing/>
      </w:pPr>
      <w:r>
        <w:rPr>
          <w:rFonts w:hint="eastAsia"/>
        </w:rPr>
        <w:t>(2) 管线重复建设造成资源浪费</w:t>
      </w:r>
    </w:p>
    <w:p>
      <w:pPr>
        <w:contextualSpacing/>
      </w:pPr>
      <w:r>
        <w:t>通信管道前期由各通信企业自建为主，联建以前在同一道路上敷设多条通信管廊，从而造成了浪费地下空间资源，存在重复破路、增加建设成本等问题；联建以后较好地解决了重复开挖建设的问题，但建设时仅考虑了现有通信企业的需求，很少有公共备用管道，部分通信企业因为资金有限在部分新建城区未参与建设，造成后期进入困难。同时由于管线资源引起的违规建设问题突出，擅自占用对方管线资源、私自剪断光缆、损坏管道而导致的通信中断时有发生，严重威胁网络的安全和畅通，不仅扰乱了电信市场的竞争秩序，而且产生了不良的社会影响。</w:t>
      </w:r>
    </w:p>
    <w:p>
      <w:pPr>
        <w:contextualSpacing/>
      </w:pPr>
      <w:r>
        <w:t xml:space="preserve"> (3) 通信基础设施建设与城市发展不协同</w:t>
      </w:r>
    </w:p>
    <w:p>
      <w:pPr>
        <w:contextualSpacing/>
      </w:pPr>
      <w:r>
        <w:t>城市规划发展和市政建设中，对于通信基础设施建设的关注度不够，部分城市建设中由于没有给通信网络基础设施预留规划用地，造成通信基站选址特别困难。应将通信基础设施，作为公共服务基础设施</w:t>
      </w:r>
      <w:r>
        <w:rPr>
          <w:rFonts w:hint="eastAsia"/>
        </w:rPr>
        <w:t>及</w:t>
      </w:r>
      <w:r>
        <w:t>民生服务的</w:t>
      </w:r>
      <w:r>
        <w:rPr>
          <w:rFonts w:hint="eastAsia"/>
        </w:rPr>
        <w:t>重要组成</w:t>
      </w:r>
      <w:r>
        <w:t>部分，应当纳入城市建设、道路规划等各项城市发展中，以确保具备服务全区的公共通信和信息服务能力。</w:t>
      </w:r>
    </w:p>
    <w:p>
      <w:pPr>
        <w:pStyle w:val="4"/>
        <w:numPr>
          <w:ilvl w:val="1"/>
          <w:numId w:val="19"/>
        </w:numPr>
      </w:pPr>
      <w:bookmarkStart w:id="31" w:name="_Toc19642578"/>
      <w:r>
        <w:rPr>
          <w:rFonts w:hint="eastAsia"/>
        </w:rPr>
        <w:t>运营商基础网络4G、5G发展思路及建设节奏</w:t>
      </w:r>
      <w:bookmarkEnd w:id="30"/>
      <w:bookmarkEnd w:id="31"/>
    </w:p>
    <w:p>
      <w:pPr>
        <w:pStyle w:val="5"/>
        <w:numPr>
          <w:ilvl w:val="2"/>
          <w:numId w:val="19"/>
        </w:numPr>
        <w:tabs>
          <w:tab w:val="clear" w:pos="912"/>
        </w:tabs>
      </w:pPr>
      <w:r>
        <w:rPr>
          <w:rFonts w:hint="eastAsia"/>
        </w:rPr>
        <w:t>铜梁移动发展思路及部署策略</w:t>
      </w:r>
    </w:p>
    <w:p>
      <w:pPr>
        <w:numPr>
          <w:ilvl w:val="0"/>
          <w:numId w:val="22"/>
        </w:numPr>
        <w:contextualSpacing/>
      </w:pPr>
      <w:r>
        <w:rPr>
          <w:rFonts w:hint="eastAsia"/>
        </w:rPr>
        <w:t>统筹兼顾、蹄疾步稳、因地制宜地部署好5G网络。作为中国移动主要的流量与收入来源，4G网络将会持续很长一段时间，5G网络需要与4G网络统筹起来，并将持续并存。5G网络与业务类型紧密相关，应充分利用好5G网络的弹性与细分功能切片，紧密结合业务进行孵化，进行针对性场景部署，因地制宜，因城施策，形成具有铜梁特色的组网方案。</w:t>
      </w:r>
    </w:p>
    <w:p>
      <w:pPr>
        <w:numPr>
          <w:ilvl w:val="0"/>
          <w:numId w:val="22"/>
        </w:numPr>
        <w:contextualSpacing/>
      </w:pPr>
      <w:r>
        <w:rPr>
          <w:rFonts w:hint="eastAsia"/>
        </w:rPr>
        <w:t>坚持5G与LTE优势亏补、长期共存，在高容量需求场景优先部署5G网络，发挥单比特建设成本和运营成本优势，应对容量持续增长需求。</w:t>
      </w:r>
    </w:p>
    <w:p>
      <w:pPr>
        <w:numPr>
          <w:ilvl w:val="0"/>
          <w:numId w:val="22"/>
        </w:numPr>
        <w:contextualSpacing/>
      </w:pPr>
      <w:r>
        <w:rPr>
          <w:rFonts w:hint="eastAsia"/>
        </w:rPr>
        <w:t>发挥4G网络MBB业务托底作用，不断增强连续和深度覆盖能力，降低5G网络深度覆盖要求。</w:t>
      </w:r>
    </w:p>
    <w:p>
      <w:pPr>
        <w:numPr>
          <w:ilvl w:val="0"/>
          <w:numId w:val="22"/>
        </w:numPr>
        <w:contextualSpacing/>
      </w:pPr>
      <w:r>
        <w:rPr>
          <w:rFonts w:hint="eastAsia"/>
        </w:rPr>
        <w:t>面向投资收益，在4G频谱资源不足场景优先部署5G网络，同时在城市核心区域开展连续部署。</w:t>
      </w:r>
    </w:p>
    <w:p>
      <w:pPr>
        <w:numPr>
          <w:ilvl w:val="0"/>
          <w:numId w:val="22"/>
        </w:numPr>
        <w:contextualSpacing/>
      </w:pPr>
      <w:r>
        <w:rPr>
          <w:rFonts w:hint="eastAsia"/>
        </w:rPr>
        <w:t>在4G穷尽频谱资源仍不能满足容量需求的场景优先部署5G网络，满足现实需求。</w:t>
      </w:r>
    </w:p>
    <w:p>
      <w:pPr>
        <w:numPr>
          <w:ilvl w:val="0"/>
          <w:numId w:val="22"/>
        </w:numPr>
        <w:contextualSpacing/>
      </w:pPr>
      <w:r>
        <w:rPr>
          <w:rFonts w:hint="eastAsia"/>
        </w:rPr>
        <w:t>在城市区域进行5G连续部署，确保5G网络口碑、保持网络领先，满足竞争需求。</w:t>
      </w:r>
    </w:p>
    <w:p>
      <w:pPr>
        <w:pStyle w:val="5"/>
        <w:numPr>
          <w:ilvl w:val="2"/>
          <w:numId w:val="19"/>
        </w:numPr>
        <w:tabs>
          <w:tab w:val="clear" w:pos="912"/>
        </w:tabs>
      </w:pPr>
      <w:r>
        <w:rPr>
          <w:rFonts w:hint="eastAsia"/>
        </w:rPr>
        <w:t>铜梁电信发展思路及部署策略</w:t>
      </w:r>
    </w:p>
    <w:p>
      <w:pPr>
        <w:numPr>
          <w:ilvl w:val="0"/>
          <w:numId w:val="23"/>
        </w:numPr>
        <w:contextualSpacing/>
      </w:pPr>
      <w:r>
        <w:rPr>
          <w:rFonts w:hint="eastAsia"/>
        </w:rPr>
        <w:t>5G网络建设初期：中国电信将拥有一张2G、3G、4G、5G并存的网络，即便在5G网络的成熟期，4G和5G网络仍将长期并存，协同发展。</w:t>
      </w:r>
    </w:p>
    <w:p>
      <w:pPr>
        <w:numPr>
          <w:ilvl w:val="0"/>
          <w:numId w:val="23"/>
        </w:numPr>
        <w:contextualSpacing/>
      </w:pPr>
      <w:r>
        <w:rPr>
          <w:rFonts w:hint="eastAsia"/>
        </w:rPr>
        <w:t>业务驱动原则：以业务需求为基础，以效益为导向，按需部署、精准投资。5G初期以满足eMBB业务为主，后期根据需要满足uRLLC和mMTC业务需求。4/5G协同原则：充分发挥4G全覆盖和5G高容量、低时延优势，4/5G协同建设，满足多样化业务场景需求。持续推进5G站址、铁塔、天面、传输、设备的共建共享，节约网络投资、降低工程建设难度和运维成本。</w:t>
      </w:r>
    </w:p>
    <w:p>
      <w:pPr>
        <w:numPr>
          <w:ilvl w:val="0"/>
          <w:numId w:val="23"/>
        </w:numPr>
        <w:contextualSpacing/>
      </w:pPr>
      <w:r>
        <w:rPr>
          <w:rFonts w:hint="eastAsia"/>
        </w:rPr>
        <w:t>多网协同：5G 和 4G、WLAN 等现网共同满足多场景业务需求，实现室内外网络协同;同时保证现有业务的平滑过渡，不造成现网业务中断和缺失。优先针对现网高容量负荷的数据热点区域进行5G网络的部署。</w:t>
      </w:r>
    </w:p>
    <w:p>
      <w:pPr>
        <w:numPr>
          <w:ilvl w:val="0"/>
          <w:numId w:val="23"/>
        </w:numPr>
        <w:contextualSpacing/>
      </w:pPr>
      <w:r>
        <w:rPr>
          <w:rFonts w:hint="eastAsia"/>
        </w:rPr>
        <w:t>技术经济性原则：关键技术和方案的选择，需要基于技术经济比较;网络建设需要充分利用现有资源，实现固移资源协同和共享，并发挥差异化竞争优势。</w:t>
      </w:r>
    </w:p>
    <w:p>
      <w:pPr>
        <w:pStyle w:val="5"/>
        <w:numPr>
          <w:ilvl w:val="2"/>
          <w:numId w:val="19"/>
        </w:numPr>
        <w:tabs>
          <w:tab w:val="clear" w:pos="912"/>
        </w:tabs>
      </w:pPr>
      <w:r>
        <w:rPr>
          <w:rFonts w:hint="eastAsia"/>
        </w:rPr>
        <w:t>铜梁联通发展思路及部署策略</w:t>
      </w:r>
    </w:p>
    <w:p>
      <w:pPr>
        <w:numPr>
          <w:ilvl w:val="0"/>
          <w:numId w:val="24"/>
        </w:numPr>
        <w:contextualSpacing/>
      </w:pPr>
      <w:r>
        <w:rPr>
          <w:rFonts w:hint="eastAsia"/>
        </w:rPr>
        <w:t>在5G网络建设起跑阶段采取抢跑部署策略，打造差异化竞争优势，构筑核心竞争力，实现业务可持续发展。</w:t>
      </w:r>
    </w:p>
    <w:p>
      <w:pPr>
        <w:numPr>
          <w:ilvl w:val="0"/>
          <w:numId w:val="24"/>
        </w:numPr>
        <w:contextualSpacing/>
      </w:pPr>
      <w:r>
        <w:rPr>
          <w:rFonts w:hint="eastAsia"/>
        </w:rPr>
        <w:t>时间维度上抢跑：业务应用与终端设备、系统设备相互制约，系统及终端设备商用是时间决策点，2019年二季度eMBB场景业务应用将率先具备商用条件，2020年上半年uRLLC场景业务应用具备硬件条件。</w:t>
      </w:r>
    </w:p>
    <w:p>
      <w:pPr>
        <w:numPr>
          <w:ilvl w:val="0"/>
          <w:numId w:val="24"/>
        </w:numPr>
        <w:contextualSpacing/>
      </w:pPr>
      <w:r>
        <w:rPr>
          <w:rFonts w:hint="eastAsia"/>
        </w:rPr>
        <w:t>空间维度上抢跑：结合口碑场景、潜在5G用户区域识别、现网资源缺口排查，按场景优先级、业务需求设定覆盖范围及组网架构。</w:t>
      </w:r>
    </w:p>
    <w:p>
      <w:pPr>
        <w:numPr>
          <w:ilvl w:val="0"/>
          <w:numId w:val="24"/>
        </w:numPr>
        <w:contextualSpacing/>
      </w:pPr>
      <w:r>
        <w:rPr>
          <w:rFonts w:hint="eastAsia"/>
        </w:rPr>
        <w:t>能力维度上抢跑：按照三大场景发展趋势分析，eMBB场景面向2C业务将最快具备抢跑机会，uRLLC场景面向2B业务随同SA网络商用后续也将获得抢跑机会，物联网NB-IOT目前处于全球主要物联网应用技术领域，抢跑机会较弱。</w:t>
      </w:r>
    </w:p>
    <w:p>
      <w:pPr>
        <w:numPr>
          <w:ilvl w:val="0"/>
          <w:numId w:val="24"/>
        </w:numPr>
        <w:contextualSpacing/>
      </w:pPr>
      <w:r>
        <w:rPr>
          <w:rFonts w:hint="eastAsia"/>
        </w:rPr>
        <w:t>现网调优：注重2/3G减频退网节奏、5G终端渗透率发展预测及eMBB、uRLLC、mMTC场景应用的成熟周期，5G先热点部署再连片部署，并完善4G盲区的覆盖。</w:t>
      </w:r>
    </w:p>
    <w:bookmarkEnd w:id="27"/>
    <w:bookmarkEnd w:id="28"/>
    <w:p>
      <w:pPr>
        <w:pStyle w:val="2"/>
        <w:contextualSpacing/>
      </w:pPr>
      <w:bookmarkStart w:id="32" w:name="_Toc19642579"/>
      <w:r>
        <w:rPr>
          <w:rFonts w:hint="eastAsia"/>
        </w:rPr>
        <w:t>通信业务需求预测</w:t>
      </w:r>
      <w:bookmarkEnd w:id="32"/>
    </w:p>
    <w:p>
      <w:pPr>
        <w:contextualSpacing/>
      </w:pPr>
      <w:r>
        <w:t>规划分别调研各通信单位对通信局房、基站需求情况，将现有各方需求进行汇总整理；规划还对通信技术发展趋势进行分析、对智慧旅游城市建设和规划情况进行解读，全方位评估未来通信需求对通信基础设施的要求；同时结合各区域规划定位、人口数量和用地规模进行通信需求预测，最终确定各类通信设施的规划需求</w:t>
      </w:r>
      <w:r>
        <w:rPr>
          <w:rFonts w:hint="eastAsia"/>
        </w:rPr>
        <w:t>。</w:t>
      </w:r>
    </w:p>
    <w:p>
      <w:pPr>
        <w:pStyle w:val="3"/>
        <w:numPr>
          <w:ilvl w:val="1"/>
          <w:numId w:val="25"/>
        </w:numPr>
        <w:contextualSpacing/>
      </w:pPr>
      <w:bookmarkStart w:id="33" w:name="_Toc19642580"/>
      <w:r>
        <w:rPr>
          <w:rFonts w:hint="eastAsia"/>
        </w:rPr>
        <w:t>预测基本思路</w:t>
      </w:r>
      <w:bookmarkEnd w:id="33"/>
    </w:p>
    <w:p>
      <w:pPr>
        <w:numPr>
          <w:ilvl w:val="0"/>
          <w:numId w:val="26"/>
        </w:numPr>
        <w:contextualSpacing/>
      </w:pPr>
      <w:r>
        <w:rPr>
          <w:rFonts w:hint="eastAsia"/>
        </w:rPr>
        <w:t>根据基站类型区别对待宏基站和室内站：为简化预测模型，本次预测仅针对室外宏基站，室外宏基站具有电磁辐射强、与城市景观密切、分布广等特点，是基站站址布局规划的重点。</w:t>
      </w:r>
    </w:p>
    <w:p>
      <w:pPr>
        <w:numPr>
          <w:ilvl w:val="0"/>
          <w:numId w:val="26"/>
        </w:numPr>
        <w:contextualSpacing/>
      </w:pPr>
      <w:r>
        <w:rPr>
          <w:rFonts w:hint="eastAsia"/>
        </w:rPr>
        <w:t>宏基站扩展物理站址和逻辑站址的范围：一般而言，通信企业所指的逻辑站址是指不同制式、不同频率、不同站型的基站，也就是将同一个局房内的 900MHz、1800MHz、2100MHz和2600MHz以及3400 MHz基站视为五个逻辑站点，而本次规划所指逻辑站址是将同一个局房内的900MHz、1800MHz、2100MHz和2600MHz以及3400 MHz基站视为一个物理站点。扩大逻辑站址和物理站址的定义范围有助于增加基站建设的灵活性，与基站特点保持一致。</w:t>
      </w:r>
    </w:p>
    <w:p>
      <w:pPr>
        <w:pStyle w:val="3"/>
        <w:numPr>
          <w:ilvl w:val="1"/>
          <w:numId w:val="25"/>
        </w:numPr>
        <w:contextualSpacing/>
      </w:pPr>
      <w:bookmarkStart w:id="34" w:name="_Toc19642581"/>
      <w:r>
        <w:rPr>
          <w:rFonts w:hint="eastAsia"/>
        </w:rPr>
        <w:t>频段分配</w:t>
      </w:r>
      <w:bookmarkEnd w:id="34"/>
    </w:p>
    <w:p>
      <w:pPr>
        <w:contextualSpacing/>
      </w:pPr>
      <w:r>
        <w:t>通信企业4G和</w:t>
      </w:r>
      <w:r>
        <w:rPr>
          <w:rFonts w:hint="eastAsia"/>
        </w:rPr>
        <w:t>5G</w:t>
      </w:r>
      <w:r>
        <w:t>的网络使用不同频段，为保证各频段的网络都能获得足够的站址（网络频段越高，基站覆盖半径越小，站址间距也越小），本次规划</w:t>
      </w:r>
      <w:r>
        <w:rPr>
          <w:rFonts w:hint="eastAsia"/>
        </w:rPr>
        <w:t>充分结合各家运营商</w:t>
      </w:r>
      <w:r>
        <w:t>主要频段进行规划。</w:t>
      </w:r>
    </w:p>
    <w:p>
      <w:pPr>
        <w:ind w:firstLine="420"/>
        <w:contextualSpacing/>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5.1-1  各通信企业频段分配表</w:t>
      </w:r>
    </w:p>
    <w:tbl>
      <w:tblPr>
        <w:tblStyle w:val="2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352"/>
        <w:gridCol w:w="4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87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通信企业</w:t>
            </w:r>
          </w:p>
        </w:tc>
        <w:tc>
          <w:tcPr>
            <w:tcW w:w="2352" w:type="dxa"/>
            <w:shd w:val="clear" w:color="auto" w:fill="auto"/>
            <w:vAlign w:val="center"/>
          </w:tcPr>
          <w:p>
            <w:pPr>
              <w:widowControl/>
              <w:spacing w:line="240" w:lineRule="auto"/>
              <w:ind w:firstLine="420"/>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无线网络制式</w:t>
            </w:r>
          </w:p>
        </w:tc>
        <w:tc>
          <w:tcPr>
            <w:tcW w:w="4934" w:type="dxa"/>
            <w:shd w:val="clear" w:color="auto" w:fill="auto"/>
            <w:vAlign w:val="center"/>
          </w:tcPr>
          <w:p>
            <w:pPr>
              <w:widowControl/>
              <w:spacing w:line="240" w:lineRule="auto"/>
              <w:ind w:firstLine="1260" w:firstLineChars="60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采用频率情况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restart"/>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中国移动</w:t>
            </w:r>
          </w:p>
        </w:tc>
        <w:tc>
          <w:tcPr>
            <w:tcW w:w="2352" w:type="dxa"/>
            <w:shd w:val="clear" w:color="auto" w:fill="auto"/>
            <w:vAlign w:val="center"/>
          </w:tcPr>
          <w:p>
            <w:pPr>
              <w:widowControl/>
              <w:spacing w:line="240" w:lineRule="auto"/>
              <w:ind w:firstLine="630" w:firstLineChars="300"/>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GSM900</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889-909MHz (上行)/934-954(下行)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shd w:val="clear" w:color="auto" w:fill="auto"/>
            <w:vAlign w:val="center"/>
          </w:tcPr>
          <w:p>
            <w:pPr>
              <w:widowControl/>
              <w:spacing w:line="240" w:lineRule="auto"/>
              <w:ind w:firstLine="630" w:firstLineChars="300"/>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GSM1800</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1710-1735MHz (上行)/1805-1830(下行)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vMerge w:val="restart"/>
            <w:shd w:val="clear" w:color="auto" w:fill="auto"/>
            <w:vAlign w:val="center"/>
          </w:tcPr>
          <w:p>
            <w:pPr>
              <w:widowControl/>
              <w:spacing w:line="240" w:lineRule="auto"/>
              <w:ind w:firstLine="630" w:firstLineChars="300"/>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TD-SCDMA</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A频段：2010-2025MHz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vMerge w:val="continue"/>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F频段：1880-1920MHz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vMerge w:val="continue"/>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E频段：2320-2370MHz (室内)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vMerge w:val="restart"/>
            <w:shd w:val="clear" w:color="auto" w:fill="auto"/>
            <w:vAlign w:val="center"/>
          </w:tcPr>
          <w:p>
            <w:pPr>
              <w:widowControl/>
              <w:spacing w:line="240" w:lineRule="auto"/>
              <w:ind w:firstLine="630" w:firstLineChars="300"/>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TD-LTE</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F频段：1880-1920MHz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vMerge w:val="continue"/>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E频段：2320-2370MHz(室内)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2352" w:type="dxa"/>
            <w:vMerge w:val="continue"/>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D频段：2575-2615MHz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restart"/>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中国电信</w:t>
            </w:r>
          </w:p>
        </w:tc>
        <w:tc>
          <w:tcPr>
            <w:tcW w:w="2352" w:type="dxa"/>
            <w:shd w:val="clear" w:color="auto" w:fill="auto"/>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CDMA</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825-835MHz (上行)/870-880(下行)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shd w:val="clear" w:color="auto" w:fill="auto"/>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TD-LTE</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2370-2390MHz (室内)、2635-2655MHz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vMerge w:val="restart"/>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FDD-LTE</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1765-1780MHz (上行)/1860-1875(下行)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vMerge w:val="continue"/>
            <w:vAlign w:val="center"/>
          </w:tcPr>
          <w:p>
            <w:pPr>
              <w:widowControl/>
              <w:spacing w:line="240" w:lineRule="auto"/>
              <w:ind w:firstLine="0" w:firstLineChars="0"/>
              <w:rPr>
                <w:rFonts w:asciiTheme="minorEastAsia" w:hAnsiTheme="minorEastAsia" w:eastAsiaTheme="minorEastAsia" w:cstheme="minorEastAsia"/>
                <w:kern w:val="0"/>
                <w:sz w:val="21"/>
                <w:szCs w:val="21"/>
              </w:rPr>
            </w:pP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1920-1935MHz (上行)/2110-2125(下行)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restart"/>
            <w:shd w:val="clear" w:color="auto" w:fill="auto"/>
            <w:vAlign w:val="center"/>
          </w:tcPr>
          <w:p>
            <w:pPr>
              <w:widowControl/>
              <w:spacing w:line="240" w:lineRule="auto"/>
              <w:ind w:firstLine="420"/>
              <w:rPr>
                <w:rFonts w:ascii="宋体" w:hAnsi="宋体" w:cs="宋体"/>
                <w:kern w:val="0"/>
                <w:sz w:val="21"/>
                <w:szCs w:val="21"/>
              </w:rPr>
            </w:pPr>
            <w:r>
              <w:rPr>
                <w:rFonts w:hint="eastAsia" w:ascii="宋体" w:hAnsi="宋体" w:cs="宋体"/>
                <w:kern w:val="0"/>
                <w:sz w:val="21"/>
                <w:szCs w:val="21"/>
              </w:rPr>
              <w:t>中国联通</w:t>
            </w:r>
          </w:p>
        </w:tc>
        <w:tc>
          <w:tcPr>
            <w:tcW w:w="2352"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GSM900</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909-915MHz (上行)/954-960(下行)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GSM1800</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1735-1755MHz (上行)/1830-1850(下行)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WCDMA</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1940-1955MHz(上行)/2130-2145(下行)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TD-LTE</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2300-2320MHz (室内)、2555-2575MHz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74" w:type="dxa"/>
            <w:vMerge w:val="continue"/>
            <w:vAlign w:val="center"/>
          </w:tcPr>
          <w:p>
            <w:pPr>
              <w:widowControl/>
              <w:spacing w:line="240" w:lineRule="auto"/>
              <w:ind w:firstLine="0" w:firstLineChars="0"/>
              <w:rPr>
                <w:rFonts w:ascii="宋体" w:hAnsi="宋体" w:cs="宋体"/>
                <w:kern w:val="0"/>
                <w:sz w:val="21"/>
                <w:szCs w:val="21"/>
              </w:rPr>
            </w:pPr>
          </w:p>
        </w:tc>
        <w:tc>
          <w:tcPr>
            <w:tcW w:w="2352"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LTE-FDD</w:t>
            </w:r>
          </w:p>
        </w:tc>
        <w:tc>
          <w:tcPr>
            <w:tcW w:w="4934" w:type="dxa"/>
            <w:shd w:val="clear" w:color="auto" w:fill="auto"/>
            <w:vAlign w:val="center"/>
          </w:tcPr>
          <w:p>
            <w:pPr>
              <w:widowControl/>
              <w:spacing w:line="240" w:lineRule="auto"/>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1755-1765MHz (上行)/1850-1860(下行)</w:t>
            </w:r>
          </w:p>
        </w:tc>
      </w:tr>
    </w:tbl>
    <w:p>
      <w:pPr>
        <w:ind w:firstLine="0" w:firstLineChars="0"/>
      </w:pPr>
    </w:p>
    <w:p>
      <w:pPr>
        <w:pStyle w:val="3"/>
        <w:numPr>
          <w:ilvl w:val="1"/>
          <w:numId w:val="25"/>
        </w:numPr>
        <w:contextualSpacing/>
      </w:pPr>
      <w:bookmarkStart w:id="35" w:name="_Toc19642582"/>
      <w:bookmarkStart w:id="36" w:name="_Toc393485193"/>
      <w:r>
        <w:rPr>
          <w:rFonts w:hint="eastAsia"/>
        </w:rPr>
        <w:t>用户感知目标</w:t>
      </w:r>
      <w:bookmarkEnd w:id="35"/>
      <w:bookmarkEnd w:id="36"/>
    </w:p>
    <w:p>
      <w:pPr>
        <w:contextualSpacing/>
      </w:pPr>
      <w:r>
        <w:t>数据业务主要从业务接入、业务保持及业务运行这三个过程对数据业务的用户使用体验进行评价，并将这三个过程中的业务性能与网络质量进行关联分析，其中业务运行性能中的速率感知是关键。</w:t>
      </w:r>
    </w:p>
    <w:p>
      <w:pPr>
        <w:contextualSpacing/>
      </w:pPr>
      <w:r>
        <w:t>在业务运行性能部分，评价各种业务的KQI指标多样，而业务速率是业务使用感受的核心指标。从可操作性角度考虑，对用户体验评价体系进行简化，提出基于业务速率的用户评价模型，采用数据业务速率对典型业务的使用性能进行量化评价</w:t>
      </w:r>
      <w:r>
        <w:rPr>
          <w:rFonts w:hint="eastAsia"/>
        </w:rPr>
        <w:t>。</w:t>
      </w:r>
    </w:p>
    <w:p>
      <w:pPr>
        <w:contextualSpacing/>
      </w:pPr>
      <w:r>
        <w:drawing>
          <wp:inline distT="0" distB="0" distL="114300" distR="114300">
            <wp:extent cx="5219065" cy="2672715"/>
            <wp:effectExtent l="0" t="0" r="635" b="1333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3"/>
                    <a:stretch>
                      <a:fillRect/>
                    </a:stretch>
                  </pic:blipFill>
                  <pic:spPr>
                    <a:xfrm>
                      <a:off x="0" y="0"/>
                      <a:ext cx="5219065" cy="2672715"/>
                    </a:xfrm>
                    <a:prstGeom prst="rect">
                      <a:avLst/>
                    </a:prstGeom>
                    <a:noFill/>
                    <a:ln w="9525">
                      <a:noFill/>
                    </a:ln>
                  </pic:spPr>
                </pic:pic>
              </a:graphicData>
            </a:graphic>
          </wp:inline>
        </w:drawing>
      </w:r>
    </w:p>
    <w:p>
      <w:pPr>
        <w:contextualSpacing/>
        <w:jc w:val="center"/>
        <w:rPr>
          <w:color w:val="000000"/>
        </w:rPr>
      </w:pPr>
      <w:r>
        <w:rPr>
          <w:rFonts w:hint="eastAsia"/>
          <w:color w:val="000000"/>
        </w:rPr>
        <w:t>图坎贝尔算法测算网络速率</w:t>
      </w:r>
    </w:p>
    <w:p>
      <w:pPr>
        <w:pStyle w:val="42"/>
        <w:numPr>
          <w:ilvl w:val="0"/>
          <w:numId w:val="27"/>
        </w:numPr>
        <w:snapToGrid/>
        <w:ind w:firstLineChars="0"/>
        <w:rPr>
          <w:lang w:val="en-US"/>
        </w:rPr>
      </w:pPr>
      <w:r>
        <w:rPr>
          <w:rFonts w:hint="eastAsia"/>
          <w:lang w:val="en-US"/>
        </w:rPr>
        <w:t>从覆盖方面进行宏基站预测</w:t>
      </w:r>
    </w:p>
    <w:p>
      <w:pPr>
        <w:contextualSpacing/>
      </w:pPr>
      <w:r>
        <w:t>预测宏基站数量是指在一定成本和满足网络服务质量的前提下，使基站的数量能满足信号覆盖和用户容量两个方面的需求，并能适应未来网络发展和扩容的要求。规划从城市规划角度出发，主要从覆盖预测方面进行预测，容量预测、质量预测由通信企业优化基站布局时校核。</w:t>
      </w:r>
    </w:p>
    <w:p>
      <w:pPr>
        <w:pStyle w:val="42"/>
        <w:numPr>
          <w:ilvl w:val="0"/>
          <w:numId w:val="27"/>
        </w:numPr>
        <w:snapToGrid/>
        <w:ind w:firstLineChars="0"/>
        <w:rPr>
          <w:lang w:val="en-US"/>
        </w:rPr>
      </w:pPr>
      <w:r>
        <w:rPr>
          <w:rFonts w:hint="eastAsia"/>
          <w:lang w:val="en-US"/>
        </w:rPr>
        <w:t>通过链路预算确定满足信号覆盖的宏基站站距。</w:t>
      </w:r>
    </w:p>
    <w:p>
      <w:pPr>
        <w:contextualSpacing/>
      </w:pPr>
      <w:r>
        <w:t>信号覆盖是指不考虑用户需求的情况下，基站发射信号所覆盖的最小和最大覆盖半径；在没有建筑物、山体遮挡的平坦区域，最大覆盖半径可达十多公里，因此，最大覆盖半径是控制的要点。不同制式因原理不一样，对链路的计算要求不一样，有以上行链路为主，也有以下行链路为主，也有制式须对上行、下行都进行复核。规划采用的计算方法是以功率预算为基础，对一条通信链路中的各种损耗和增益进行核算，计算链路所允许的最大传播损耗，结合传播模型确定基站的最小覆盖半径，进而得到满足信号覆盖的基站数量。</w:t>
      </w:r>
    </w:p>
    <w:p>
      <w:pPr>
        <w:contextualSpacing/>
      </w:pPr>
    </w:p>
    <w:p>
      <w:pPr>
        <w:pStyle w:val="2"/>
        <w:contextualSpacing/>
      </w:pPr>
      <w:bookmarkStart w:id="37" w:name="_Toc19642583"/>
      <w:r>
        <w:rPr>
          <w:rFonts w:hint="eastAsia"/>
        </w:rPr>
        <w:t>通信</w:t>
      </w:r>
      <w:r>
        <w:t>设施规划</w:t>
      </w:r>
      <w:bookmarkEnd w:id="37"/>
    </w:p>
    <w:p>
      <w:pPr>
        <w:pStyle w:val="3"/>
        <w:numPr>
          <w:ilvl w:val="1"/>
          <w:numId w:val="28"/>
        </w:numPr>
        <w:contextualSpacing/>
      </w:pPr>
      <w:bookmarkStart w:id="38" w:name="_Toc19642584"/>
      <w:r>
        <w:t>通信基站</w:t>
      </w:r>
      <w:r>
        <w:rPr>
          <w:rFonts w:hint="eastAsia"/>
        </w:rPr>
        <w:t>规划</w:t>
      </w:r>
      <w:bookmarkEnd w:id="38"/>
    </w:p>
    <w:p>
      <w:pPr>
        <w:pStyle w:val="4"/>
        <w:numPr>
          <w:ilvl w:val="2"/>
          <w:numId w:val="28"/>
        </w:numPr>
      </w:pPr>
      <w:bookmarkStart w:id="39" w:name="_Toc452964684"/>
      <w:bookmarkStart w:id="40" w:name="_Toc19642585"/>
      <w:r>
        <w:t>移动通信系统及其分析</w:t>
      </w:r>
      <w:bookmarkEnd w:id="39"/>
      <w:bookmarkEnd w:id="40"/>
    </w:p>
    <w:p>
      <w:pPr>
        <w:numPr>
          <w:ilvl w:val="0"/>
          <w:numId w:val="29"/>
        </w:numPr>
        <w:contextualSpacing/>
      </w:pPr>
      <w:r>
        <w:rPr>
          <w:rFonts w:hint="eastAsia"/>
        </w:rPr>
        <w:t>中国移动通信事业发展始于20世纪80年代，在短短20年的时间里，不仅网络规模和用户规模双双成长为世界第一，还在知识产权、国际标准、移动通信设备研制等方面取得了历史性的突破！2013年12月4日中国工信部正式给通信企业下发TD-LTE 4G牌照，揭开我国4G网络商用的序幕。</w:t>
      </w:r>
    </w:p>
    <w:p>
      <w:pPr>
        <w:numPr>
          <w:ilvl w:val="0"/>
          <w:numId w:val="29"/>
        </w:numPr>
        <w:contextualSpacing/>
      </w:pPr>
      <w:r>
        <w:rPr>
          <w:rFonts w:hint="eastAsia"/>
        </w:rPr>
        <w:t>业界预测，5G商用的时间是2020年。5G是多种新型无线接入技术和现有无线接入技术（4G后向演进技术）集成后的解决方案总称，从某种程度上讲，5G是一个真正意义上的融合网络。5G的目标峰值速率超过10Gbps，有着超高数据速率、极低时延、低成本设备、超低能耗、极高可靠性等特性，5G与“云”、“物联网”密不可分。真正的5G终端不仅可以兼容4G标准，同时还可以降低终端成本，提供真正意义的全球漫游。</w:t>
      </w:r>
    </w:p>
    <w:p>
      <w:pPr>
        <w:numPr>
          <w:ilvl w:val="0"/>
          <w:numId w:val="29"/>
        </w:numPr>
        <w:contextualSpacing/>
      </w:pPr>
      <w:bookmarkStart w:id="41" w:name="_Toc12860"/>
      <w:r>
        <w:rPr>
          <w:rFonts w:hint="eastAsia"/>
        </w:rPr>
        <w:t>5G基站典型部署方式</w:t>
      </w:r>
      <w:bookmarkEnd w:id="41"/>
    </w:p>
    <w:p>
      <w:pPr>
        <w:ind w:firstLine="0" w:firstLineChars="0"/>
        <w:jc w:val="center"/>
        <w:rPr>
          <w:rFonts w:asciiTheme="minorEastAsia" w:hAnsiTheme="minorEastAsia" w:eastAsiaTheme="minorEastAsia"/>
        </w:rPr>
      </w:pPr>
      <w:r>
        <w:rPr>
          <w:rFonts w:asciiTheme="minorEastAsia" w:hAnsiTheme="minorEastAsia" w:eastAsiaTheme="minorEastAsia"/>
        </w:rPr>
        <w:drawing>
          <wp:inline distT="0" distB="0" distL="0" distR="0">
            <wp:extent cx="4317365" cy="2416810"/>
            <wp:effectExtent l="0" t="0" r="6985"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4" cstate="print"/>
                    <a:stretch>
                      <a:fillRect/>
                    </a:stretch>
                  </pic:blipFill>
                  <pic:spPr>
                    <a:xfrm>
                      <a:off x="0" y="0"/>
                      <a:ext cx="4317365" cy="2416810"/>
                    </a:xfrm>
                    <a:prstGeom prst="rect">
                      <a:avLst/>
                    </a:prstGeom>
                  </pic:spPr>
                </pic:pic>
              </a:graphicData>
            </a:graphic>
          </wp:inline>
        </w:drawing>
      </w:r>
    </w:p>
    <w:p>
      <w:pPr>
        <w:rPr>
          <w:rFonts w:asciiTheme="minorEastAsia" w:hAnsiTheme="minorEastAsia" w:eastAsiaTheme="minorEastAsia"/>
        </w:rPr>
      </w:pPr>
      <w:r>
        <w:rPr>
          <w:rFonts w:hint="eastAsia" w:asciiTheme="minorEastAsia" w:hAnsiTheme="minorEastAsia" w:eastAsiaTheme="minorEastAsia"/>
        </w:rPr>
        <w:t>采用CU\DU合设的基站建设方式，后期根据设备形态发展，可能采用后两种部署方式。</w:t>
      </w:r>
    </w:p>
    <w:p>
      <w:pPr>
        <w:numPr>
          <w:ilvl w:val="0"/>
          <w:numId w:val="29"/>
        </w:numPr>
        <w:contextualSpacing/>
      </w:pPr>
      <w:bookmarkStart w:id="42" w:name="_Toc22610"/>
      <w:r>
        <w:rPr>
          <w:rFonts w:hint="eastAsia"/>
        </w:rPr>
        <w:t>5G基站设备参数</w:t>
      </w:r>
      <w:bookmarkEnd w:id="42"/>
    </w:p>
    <w:p>
      <w:r>
        <w:rPr>
          <w:rFonts w:hint="eastAsia" w:asciiTheme="minorEastAsia" w:hAnsiTheme="minorEastAsia" w:eastAsiaTheme="minorEastAsia"/>
        </w:rPr>
        <w:t>目前，现有基站设备厂家均已推出符合3GPP R15版本的“CU和DU合设+AAU”形态的Massive MIMO基站，支持3.5GHz（3400-3600MHz）频段。</w:t>
      </w:r>
    </w:p>
    <w:p>
      <w:pPr>
        <w:numPr>
          <w:ilvl w:val="0"/>
          <w:numId w:val="29"/>
        </w:numPr>
        <w:contextualSpacing/>
      </w:pPr>
      <w:r>
        <w:rPr>
          <w:rFonts w:hint="eastAsia"/>
        </w:rPr>
        <w:t>目前5G各项规范标准还没最终形成落地，4G标准规范已相当成熟，4G网络发展更是如火如荼，已成为目前发展的主流网络，本规划将以4G网络为规划目标同时兼顾5G建设储备。</w:t>
      </w:r>
    </w:p>
    <w:p>
      <w:pPr>
        <w:numPr>
          <w:ilvl w:val="0"/>
          <w:numId w:val="29"/>
        </w:numPr>
        <w:contextualSpacing/>
      </w:pPr>
      <w:r>
        <w:rPr>
          <w:rFonts w:hint="eastAsia"/>
        </w:rPr>
        <w:t>对物理站址的影响分析：不同通信企业的不同制式或不同频率的基站是逻辑站址，城市规划控制基站站址是指物理站址而非逻辑站址，一个物理站址可能包括多种逻辑基站，如 900MHz、1800MHz、2100MHz、2600HMz，或者 2G、3G、4G的站址，或者直放站、微基站，或者不同通信企业的不同制式的逻辑基站。将不同逻辑站址通过集约化手段梳理成物理站址，是本次规划的任务之一，这样既避免陷于不同制式用户动态变化而难以得出基站的数量，也便于将基站的设置规律纳入城市规划而普遍推广。</w:t>
      </w:r>
    </w:p>
    <w:p>
      <w:pPr>
        <w:numPr>
          <w:ilvl w:val="0"/>
          <w:numId w:val="29"/>
        </w:numPr>
        <w:contextualSpacing/>
      </w:pPr>
      <w:r>
        <w:rPr>
          <w:rFonts w:hint="eastAsia"/>
        </w:rPr>
        <w:t>对基站设置规律的影响分析：2G、3G、4G的不同制式因业务模型和传输模型的不同，导致基站的覆盖半径、站距均不相同；尽管数据差值不大，但对需在城市规划阶段推广的普遍规律而言，各种数据要更具代表性。如果按照覆盖半径最小、市场份额最大制式的基站所承载用户数来总结基站的设置规律，那么，其它制式的设置规律也能满足或基本接近使用要求；不同制式的差别可以通过技术分析加以修正。</w:t>
      </w:r>
    </w:p>
    <w:p>
      <w:pPr>
        <w:numPr>
          <w:ilvl w:val="0"/>
          <w:numId w:val="29"/>
        </w:numPr>
        <w:contextualSpacing/>
      </w:pPr>
      <w:r>
        <w:rPr>
          <w:rFonts w:hint="eastAsia"/>
        </w:rPr>
        <w:t>对基站布局的影响分析：各种制式的基站布局最终由各功能片区的该制式用户数、建设状况（包括建筑单体、城市道路等）、周边电磁环境等因素确定。尽管前述的基站数量的计算方法、设置规律不是针对某种制式而制定，但最终基站布局是一定要满足各种制式的要求。满足不同制式布局要求主要通过基站布局步骤、选址原则、选址方法来控制，同时结合各功能片区及其周边片区的现状基站布局、规划期末的建设状况以及要达到规划目标等要素综合确定。</w:t>
      </w:r>
    </w:p>
    <w:p>
      <w:pPr>
        <w:pStyle w:val="4"/>
        <w:numPr>
          <w:ilvl w:val="2"/>
          <w:numId w:val="28"/>
        </w:numPr>
      </w:pPr>
      <w:bookmarkStart w:id="43" w:name="_Toc19642586"/>
      <w:r>
        <w:t>规划思路</w:t>
      </w:r>
      <w:bookmarkEnd w:id="43"/>
    </w:p>
    <w:p>
      <w:pPr>
        <w:contextualSpacing/>
      </w:pPr>
      <w:r>
        <w:t>结合</w:t>
      </w:r>
      <w:r>
        <w:rPr>
          <w:rFonts w:hint="eastAsia"/>
        </w:rPr>
        <w:t>铜梁</w:t>
      </w:r>
      <w:r>
        <w:t>区</w:t>
      </w:r>
      <w:r>
        <w:rPr>
          <w:rFonts w:hint="eastAsia"/>
        </w:rPr>
        <w:t>城乡</w:t>
      </w:r>
      <w:r>
        <w:t>规划布局，从满足通信功能需求、城市景观、环境保护及网络稳定安全等方面合理对通信基站落实选址布点，保证</w:t>
      </w:r>
      <w:r>
        <w:rPr>
          <w:rFonts w:hint="eastAsia"/>
        </w:rPr>
        <w:t>城乡</w:t>
      </w:r>
      <w:r>
        <w:t>建设与通信产业的协调性。</w:t>
      </w:r>
    </w:p>
    <w:p>
      <w:pPr>
        <w:contextualSpacing/>
      </w:pPr>
      <w:r>
        <w:t>本次规划的</w:t>
      </w:r>
      <w:r>
        <w:rPr>
          <w:rFonts w:hint="eastAsia"/>
        </w:rPr>
        <w:t>通信</w:t>
      </w:r>
      <w:r>
        <w:t>基站资源</w:t>
      </w:r>
      <w:r>
        <w:rPr>
          <w:rFonts w:hint="eastAsia"/>
        </w:rPr>
        <w:t>已综合</w:t>
      </w:r>
      <w:r>
        <w:t>考虑中国广电</w:t>
      </w:r>
      <w:r>
        <w:rPr>
          <w:rFonts w:hint="eastAsia"/>
        </w:rPr>
        <w:t>未来发展</w:t>
      </w:r>
      <w:r>
        <w:t>，</w:t>
      </w:r>
      <w:r>
        <w:rPr>
          <w:rFonts w:hint="eastAsia"/>
        </w:rPr>
        <w:t>如获</w:t>
      </w:r>
      <w:r>
        <w:t>国家政策</w:t>
      </w:r>
      <w:r>
        <w:rPr>
          <w:rFonts w:hint="eastAsia"/>
        </w:rPr>
        <w:t>许可</w:t>
      </w:r>
      <w:r>
        <w:t>，</w:t>
      </w:r>
      <w:r>
        <w:rPr>
          <w:rFonts w:hint="eastAsia"/>
        </w:rPr>
        <w:t>可</w:t>
      </w:r>
      <w:r>
        <w:t>满足</w:t>
      </w:r>
      <w:r>
        <w:rPr>
          <w:rFonts w:hint="eastAsia"/>
        </w:rPr>
        <w:t>其</w:t>
      </w:r>
      <w:r>
        <w:t>需求。</w:t>
      </w:r>
    </w:p>
    <w:p>
      <w:pPr>
        <w:numPr>
          <w:ilvl w:val="0"/>
          <w:numId w:val="30"/>
        </w:numPr>
        <w:contextualSpacing/>
      </w:pPr>
      <w:r>
        <w:rPr>
          <w:rFonts w:hint="eastAsia"/>
        </w:rPr>
        <w:t>景区站址规划，纳入到城乡发展的详细规划中，后续根据功能区的完工时间、游客分布情况和通信企业的建设要求，分步实施。</w:t>
      </w:r>
    </w:p>
    <w:p>
      <w:pPr>
        <w:numPr>
          <w:ilvl w:val="0"/>
          <w:numId w:val="30"/>
        </w:numPr>
        <w:contextualSpacing/>
      </w:pPr>
      <w:r>
        <w:rPr>
          <w:rFonts w:hint="eastAsia"/>
        </w:rPr>
        <w:t>积极掌握铁路、公路等交通管理部门对站址建设的要求，以及可获取的土地房屋、电力等资源。</w:t>
      </w:r>
    </w:p>
    <w:p>
      <w:pPr>
        <w:numPr>
          <w:ilvl w:val="0"/>
          <w:numId w:val="30"/>
        </w:numPr>
        <w:contextualSpacing/>
      </w:pPr>
      <w:r>
        <w:rPr>
          <w:rFonts w:hint="eastAsia"/>
        </w:rPr>
        <w:t>主动获取交通干线规划需要的里程、车流量、道路使用车型、车速、车体损耗和路基高度等信息。</w:t>
      </w:r>
    </w:p>
    <w:p>
      <w:pPr>
        <w:numPr>
          <w:ilvl w:val="0"/>
          <w:numId w:val="30"/>
        </w:numPr>
        <w:contextualSpacing/>
      </w:pPr>
      <w:r>
        <w:rPr>
          <w:rFonts w:hint="eastAsia"/>
        </w:rPr>
        <w:t>分析沿线各家通信企业现网覆盖和站址资源情况，为利旧改造使用存量站址提供依据。</w:t>
      </w:r>
    </w:p>
    <w:p>
      <w:pPr>
        <w:numPr>
          <w:ilvl w:val="0"/>
          <w:numId w:val="30"/>
        </w:numPr>
        <w:contextualSpacing/>
      </w:pPr>
      <w:r>
        <w:rPr>
          <w:rFonts w:hint="eastAsia"/>
        </w:rPr>
        <w:t>根据通信企业交通干线覆盖策略、网络制式、频段、覆盖指标、容量指标等要求，结合通信企业现有类似交通干线的站址布局和链路预算分析，确定交通干线覆盖中站址规划的站距、规模和挂高要求。</w:t>
      </w:r>
    </w:p>
    <w:p>
      <w:pPr>
        <w:numPr>
          <w:ilvl w:val="0"/>
          <w:numId w:val="30"/>
        </w:numPr>
        <w:contextualSpacing/>
      </w:pPr>
      <w:r>
        <w:rPr>
          <w:rFonts w:hint="eastAsia"/>
        </w:rPr>
        <w:t>综合各家通信企业不同制式的站距、挂高、距路基垂直距离等要求，考虑局房配套和天面资源的配置，结合可获取的土地房屋资源，加强整合，制定初步的站址方案。</w:t>
      </w:r>
    </w:p>
    <w:p>
      <w:pPr>
        <w:pStyle w:val="4"/>
        <w:numPr>
          <w:ilvl w:val="2"/>
          <w:numId w:val="28"/>
        </w:numPr>
      </w:pPr>
      <w:bookmarkStart w:id="44" w:name="_Toc19642587"/>
      <w:r>
        <w:t>规划原则</w:t>
      </w:r>
      <w:bookmarkEnd w:id="44"/>
    </w:p>
    <w:p>
      <w:pPr>
        <w:numPr>
          <w:ilvl w:val="0"/>
          <w:numId w:val="31"/>
        </w:numPr>
        <w:contextualSpacing/>
      </w:pPr>
      <w:r>
        <w:rPr>
          <w:rFonts w:hint="eastAsia"/>
        </w:rPr>
        <w:t>后向兼容：本次规划充分尊重历史，在体现前瞻规划的同时，也着重体现了后向兼容的思想。对于由于客观原因导致的基站设置现状不作颠覆性的变更，并基于精细化管理的原则对其进行了梳理、归类，或保留、或调整、或拆除。基本确立了“大部保留，适当调整，少量拆除”的原则，以确保移动通信服务不会由于规划的根本性变更而发生重大事故，确保移动通信行业安全运行。</w:t>
      </w:r>
    </w:p>
    <w:p>
      <w:pPr>
        <w:numPr>
          <w:ilvl w:val="0"/>
          <w:numId w:val="31"/>
        </w:numPr>
        <w:contextualSpacing/>
      </w:pPr>
      <w:r>
        <w:rPr>
          <w:rFonts w:hint="eastAsia"/>
        </w:rPr>
        <w:t>规划引导：基站设置作为一项微观的行为，需要充分体现城乡规划及布局的意图，实现基站与人口、用地属性、地形地貌等方面的有机融合。通过规划先行推动基站设置的有的放矢，推动基站布局的进一步优化，最终实现“按需设站”的基站设置思路。</w:t>
      </w:r>
    </w:p>
    <w:p>
      <w:pPr>
        <w:numPr>
          <w:ilvl w:val="0"/>
          <w:numId w:val="31"/>
        </w:numPr>
        <w:contextualSpacing/>
      </w:pPr>
      <w:r>
        <w:rPr>
          <w:rFonts w:hint="eastAsia"/>
        </w:rPr>
        <w:t>资源集约：基站设置不仅涉及空间资源，同样也涉及到能源供应、传输等方面的一系列要素。本次规划以站址集约为切入点，进一步强化多要素的集约利用。在空间上倡导移动通信行业内的天面、物理空间等的共享；倡导移动通信行业与其他城市公共设施行业的共享。</w:t>
      </w:r>
    </w:p>
    <w:p>
      <w:pPr>
        <w:numPr>
          <w:ilvl w:val="0"/>
          <w:numId w:val="31"/>
        </w:numPr>
        <w:contextualSpacing/>
      </w:pPr>
      <w:r>
        <w:rPr>
          <w:rFonts w:hint="eastAsia"/>
        </w:rPr>
        <w:t>多要素融合：基站设置源于移动通信网络的部署需要，其技术的合理性直接影响到通信企业的利益，同时，基站设置落脚于城市具体物理形态，其技术合理性必然受到包括业主、居民在内的多元利益群体的影响。因此，基站规划的过程中，通过多要素的综合预判，以实现多元主体在利益上的平衡和趋同。</w:t>
      </w:r>
    </w:p>
    <w:p>
      <w:pPr>
        <w:numPr>
          <w:ilvl w:val="0"/>
          <w:numId w:val="31"/>
        </w:numPr>
        <w:contextualSpacing/>
      </w:pPr>
      <w:r>
        <w:rPr>
          <w:rFonts w:hint="eastAsia"/>
        </w:rPr>
        <w:t>布局前瞻性：移动通信技术发展迅速，现网多种制式并存，从4G开始有望未来发展为较为统一的制式，但多种制式并存的情况仍将长期存在。未来移动通信网络将提供更为多样化的业务，技术也更复杂，基于一般技术的信号强度分析不能满足规划需求。</w:t>
      </w:r>
    </w:p>
    <w:p>
      <w:pPr>
        <w:numPr>
          <w:ilvl w:val="0"/>
          <w:numId w:val="31"/>
        </w:numPr>
        <w:contextualSpacing/>
      </w:pPr>
      <w:r>
        <w:rPr>
          <w:rFonts w:hint="eastAsia"/>
        </w:rPr>
        <w:t>渐进化：网络规模的发展是渐进的，这既是市场发展的要求，也是通信企业投资受限的结果。近期和远期规划相结合，以最低的成本建造成符合近期和远期话务需求，具有一定服务等级的移动通信网络。按建设时序，通信网络提供的各项业务质量将越来越好，用户的主观感觉也越来越好，保持在移动通信市场对用户长久的吸引力。</w:t>
      </w:r>
    </w:p>
    <w:p>
      <w:pPr>
        <w:numPr>
          <w:ilvl w:val="0"/>
          <w:numId w:val="31"/>
        </w:numPr>
        <w:contextualSpacing/>
      </w:pPr>
      <w:r>
        <w:rPr>
          <w:rFonts w:hint="eastAsia"/>
        </w:rPr>
        <w:t>基站布局应符合GB 8702-2014《电磁辐射防护规定》等电磁辐射要求。</w:t>
      </w:r>
    </w:p>
    <w:p>
      <w:pPr>
        <w:pStyle w:val="4"/>
        <w:numPr>
          <w:ilvl w:val="2"/>
          <w:numId w:val="28"/>
        </w:numPr>
      </w:pPr>
      <w:bookmarkStart w:id="45" w:name="_Toc19642588"/>
      <w:r>
        <w:t>规划策略</w:t>
      </w:r>
      <w:bookmarkEnd w:id="45"/>
    </w:p>
    <w:p>
      <w:pPr>
        <w:pStyle w:val="5"/>
        <w:numPr>
          <w:ilvl w:val="3"/>
          <w:numId w:val="28"/>
        </w:numPr>
        <w:contextualSpacing/>
      </w:pPr>
      <w:r>
        <w:t>通信企业网络覆盖需求</w:t>
      </w:r>
    </w:p>
    <w:p>
      <w:pPr>
        <w:numPr>
          <w:ilvl w:val="0"/>
          <w:numId w:val="32"/>
        </w:numPr>
        <w:contextualSpacing/>
      </w:pPr>
      <w:r>
        <w:rPr>
          <w:rFonts w:hint="eastAsia"/>
        </w:rPr>
        <w:t>4G基站覆盖环境</w:t>
      </w:r>
    </w:p>
    <w:p>
      <w:pPr>
        <w:contextualSpacing/>
      </w:pPr>
      <w:r>
        <w:rPr>
          <w:rFonts w:hint="eastAsia"/>
        </w:rPr>
        <w:t>4G网络参数实现整个规划区的连续覆盖，室外信号强度大于-90dBm，可畅通地进行语音通信及数据需求。同时要紧跟城市发展建设需求，对近期城市规划重点区域、交通干线提前预覆盖，中远期对尚未建设或尚未规划的区域随着建设进度覆盖。</w:t>
      </w:r>
    </w:p>
    <w:p>
      <w:pPr>
        <w:contextualSpacing/>
      </w:pPr>
      <w:r>
        <w:t>一般城区：应满足RSRP&gt;=-105dbm且RS-SINR&gt;=-3db的概率&gt;=90%。下行速率&gt;=4Mbps 且上行速率&gt;=256kbps的概率&gt;=90%</w:t>
      </w:r>
      <w:r>
        <w:rPr>
          <w:rFonts w:hint="eastAsia"/>
        </w:rPr>
        <w:t>。</w:t>
      </w:r>
    </w:p>
    <w:p>
      <w:pPr>
        <w:ind w:firstLine="420"/>
        <w:contextualSpacing/>
        <w:jc w:val="center"/>
        <w:rPr>
          <w:sz w:val="21"/>
          <w:szCs w:val="21"/>
        </w:rPr>
      </w:pPr>
      <w:r>
        <w:rPr>
          <w:rFonts w:hint="eastAsia" w:ascii="宋体" w:hAnsi="宋体" w:cs="宋体"/>
          <w:sz w:val="21"/>
          <w:szCs w:val="21"/>
        </w:rPr>
        <w:t>表6.1.2-1 4G网络覆盖指标考虑</w:t>
      </w:r>
    </w:p>
    <w:tbl>
      <w:tblPr>
        <w:tblStyle w:val="27"/>
        <w:tblW w:w="9360" w:type="dxa"/>
        <w:jc w:val="center"/>
        <w:tblLayout w:type="fixed"/>
        <w:tblCellMar>
          <w:top w:w="0" w:type="dxa"/>
          <w:left w:w="108" w:type="dxa"/>
          <w:bottom w:w="0" w:type="dxa"/>
          <w:right w:w="108" w:type="dxa"/>
        </w:tblCellMar>
      </w:tblPr>
      <w:tblGrid>
        <w:gridCol w:w="2804"/>
        <w:gridCol w:w="3407"/>
        <w:gridCol w:w="3149"/>
      </w:tblGrid>
      <w:tr>
        <w:tblPrEx>
          <w:tblCellMar>
            <w:top w:w="0" w:type="dxa"/>
            <w:left w:w="108" w:type="dxa"/>
            <w:bottom w:w="0" w:type="dxa"/>
            <w:right w:w="108" w:type="dxa"/>
          </w:tblCellMar>
        </w:tblPrEx>
        <w:trPr>
          <w:trHeight w:val="323" w:hRule="atLeast"/>
          <w:tblHeader/>
          <w:jc w:val="center"/>
        </w:trPr>
        <w:tc>
          <w:tcPr>
            <w:tcW w:w="28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城区场景</w:t>
            </w:r>
          </w:p>
        </w:tc>
        <w:tc>
          <w:tcPr>
            <w:tcW w:w="3407" w:type="dxa"/>
            <w:tcBorders>
              <w:top w:val="single" w:color="auto" w:sz="4" w:space="0"/>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FDD-LTE</w:t>
            </w:r>
          </w:p>
        </w:tc>
        <w:tc>
          <w:tcPr>
            <w:tcW w:w="3149" w:type="dxa"/>
            <w:tcBorders>
              <w:top w:val="single" w:color="auto" w:sz="4" w:space="0"/>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TDD-LTE</w:t>
            </w:r>
          </w:p>
        </w:tc>
      </w:tr>
      <w:tr>
        <w:tblPrEx>
          <w:tblCellMar>
            <w:top w:w="0" w:type="dxa"/>
            <w:left w:w="108" w:type="dxa"/>
            <w:bottom w:w="0" w:type="dxa"/>
            <w:right w:w="108" w:type="dxa"/>
          </w:tblCellMar>
        </w:tblPrEx>
        <w:trPr>
          <w:trHeight w:val="322" w:hRule="atLeast"/>
          <w:jc w:val="center"/>
        </w:trPr>
        <w:tc>
          <w:tcPr>
            <w:tcW w:w="2804" w:type="dxa"/>
            <w:tcBorders>
              <w:top w:val="nil"/>
              <w:left w:val="single" w:color="auto" w:sz="4" w:space="0"/>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目标</w:t>
            </w:r>
          </w:p>
        </w:tc>
        <w:tc>
          <w:tcPr>
            <w:tcW w:w="6556" w:type="dxa"/>
            <w:gridSpan w:val="2"/>
            <w:tcBorders>
              <w:top w:val="single" w:color="auto" w:sz="4" w:space="0"/>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采样点概率满足95％</w:t>
            </w:r>
          </w:p>
        </w:tc>
      </w:tr>
      <w:tr>
        <w:tblPrEx>
          <w:tblCellMar>
            <w:top w:w="0" w:type="dxa"/>
            <w:left w:w="108" w:type="dxa"/>
            <w:bottom w:w="0" w:type="dxa"/>
            <w:right w:w="108" w:type="dxa"/>
          </w:tblCellMar>
        </w:tblPrEx>
        <w:trPr>
          <w:trHeight w:val="633" w:hRule="atLeast"/>
          <w:jc w:val="center"/>
        </w:trPr>
        <w:tc>
          <w:tcPr>
            <w:tcW w:w="2804" w:type="dxa"/>
            <w:tcBorders>
              <w:top w:val="nil"/>
              <w:left w:val="single" w:color="auto" w:sz="4" w:space="0"/>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室外覆盖</w:t>
            </w:r>
          </w:p>
        </w:tc>
        <w:tc>
          <w:tcPr>
            <w:tcW w:w="3407"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RSRP&gt;=-105dbm&amp;</w:t>
            </w:r>
            <w:r>
              <w:rPr>
                <w:rFonts w:ascii="宋体" w:hAnsi="宋体" w:cs="Arial Unicode MS"/>
                <w:lang w:val="en-US"/>
              </w:rPr>
              <w:br w:type="textWrapping"/>
            </w:r>
            <w:r>
              <w:rPr>
                <w:rFonts w:ascii="宋体" w:hAnsi="宋体" w:cs="Arial Unicode MS"/>
                <w:lang w:val="en-US"/>
              </w:rPr>
              <w:t>RS-SINR&gt;=-3db</w:t>
            </w:r>
          </w:p>
        </w:tc>
        <w:tc>
          <w:tcPr>
            <w:tcW w:w="3149"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RSRP&gt;=-105dbm&amp;</w:t>
            </w:r>
            <w:r>
              <w:rPr>
                <w:rFonts w:ascii="宋体" w:hAnsi="宋体" w:cs="Arial Unicode MS"/>
                <w:lang w:val="en-US"/>
              </w:rPr>
              <w:br w:type="textWrapping"/>
            </w:r>
            <w:r>
              <w:rPr>
                <w:rFonts w:ascii="宋体" w:hAnsi="宋体" w:cs="Arial Unicode MS"/>
                <w:lang w:val="en-US"/>
              </w:rPr>
              <w:t>RS-SINR&gt;=-3db</w:t>
            </w:r>
          </w:p>
        </w:tc>
      </w:tr>
      <w:tr>
        <w:tblPrEx>
          <w:tblCellMar>
            <w:top w:w="0" w:type="dxa"/>
            <w:left w:w="108" w:type="dxa"/>
            <w:bottom w:w="0" w:type="dxa"/>
            <w:right w:w="108" w:type="dxa"/>
          </w:tblCellMar>
        </w:tblPrEx>
        <w:trPr>
          <w:trHeight w:val="322" w:hRule="atLeast"/>
          <w:jc w:val="center"/>
        </w:trPr>
        <w:tc>
          <w:tcPr>
            <w:tcW w:w="2804" w:type="dxa"/>
            <w:tcBorders>
              <w:top w:val="nil"/>
              <w:left w:val="single" w:color="auto" w:sz="4" w:space="0"/>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下行速率</w:t>
            </w:r>
          </w:p>
        </w:tc>
        <w:tc>
          <w:tcPr>
            <w:tcW w:w="3407"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大于4Mbps</w:t>
            </w:r>
          </w:p>
        </w:tc>
        <w:tc>
          <w:tcPr>
            <w:tcW w:w="3149"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大于1Mbps</w:t>
            </w:r>
          </w:p>
        </w:tc>
      </w:tr>
      <w:tr>
        <w:tblPrEx>
          <w:tblCellMar>
            <w:top w:w="0" w:type="dxa"/>
            <w:left w:w="108" w:type="dxa"/>
            <w:bottom w:w="0" w:type="dxa"/>
            <w:right w:w="108" w:type="dxa"/>
          </w:tblCellMar>
        </w:tblPrEx>
        <w:trPr>
          <w:trHeight w:val="322" w:hRule="atLeast"/>
          <w:jc w:val="center"/>
        </w:trPr>
        <w:tc>
          <w:tcPr>
            <w:tcW w:w="2804" w:type="dxa"/>
            <w:tcBorders>
              <w:top w:val="nil"/>
              <w:left w:val="single" w:color="auto" w:sz="4" w:space="0"/>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下行频率</w:t>
            </w:r>
          </w:p>
        </w:tc>
        <w:tc>
          <w:tcPr>
            <w:tcW w:w="3407"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2130MHz</w:t>
            </w:r>
          </w:p>
        </w:tc>
        <w:tc>
          <w:tcPr>
            <w:tcW w:w="3149"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1900MHz</w:t>
            </w:r>
          </w:p>
        </w:tc>
      </w:tr>
      <w:tr>
        <w:tblPrEx>
          <w:tblCellMar>
            <w:top w:w="0" w:type="dxa"/>
            <w:left w:w="108" w:type="dxa"/>
            <w:bottom w:w="0" w:type="dxa"/>
            <w:right w:w="108" w:type="dxa"/>
          </w:tblCellMar>
        </w:tblPrEx>
        <w:trPr>
          <w:trHeight w:val="334" w:hRule="atLeast"/>
          <w:jc w:val="center"/>
        </w:trPr>
        <w:tc>
          <w:tcPr>
            <w:tcW w:w="2804" w:type="dxa"/>
            <w:tcBorders>
              <w:top w:val="nil"/>
              <w:left w:val="single" w:color="auto" w:sz="4" w:space="0"/>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室外站址距离要求</w:t>
            </w:r>
          </w:p>
        </w:tc>
        <w:tc>
          <w:tcPr>
            <w:tcW w:w="3407"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250~350米</w:t>
            </w:r>
          </w:p>
        </w:tc>
        <w:tc>
          <w:tcPr>
            <w:tcW w:w="3149" w:type="dxa"/>
            <w:tcBorders>
              <w:top w:val="nil"/>
              <w:left w:val="nil"/>
              <w:bottom w:val="single" w:color="auto" w:sz="4" w:space="0"/>
              <w:right w:val="single" w:color="auto" w:sz="4" w:space="0"/>
            </w:tcBorders>
            <w:shd w:val="clear" w:color="auto" w:fill="auto"/>
            <w:vAlign w:val="center"/>
          </w:tcPr>
          <w:p>
            <w:pPr>
              <w:pStyle w:val="34"/>
              <w:ind w:left="312"/>
              <w:contextualSpacing/>
              <w:rPr>
                <w:rFonts w:ascii="宋体" w:hAnsi="宋体" w:cs="Arial Unicode MS"/>
                <w:lang w:val="en-US"/>
              </w:rPr>
            </w:pPr>
            <w:r>
              <w:rPr>
                <w:rFonts w:ascii="宋体" w:hAnsi="宋体" w:cs="Arial Unicode MS"/>
                <w:lang w:val="en-US"/>
              </w:rPr>
              <w:t>250~350米</w:t>
            </w:r>
          </w:p>
        </w:tc>
      </w:tr>
    </w:tbl>
    <w:p>
      <w:pPr>
        <w:numPr>
          <w:ilvl w:val="0"/>
          <w:numId w:val="32"/>
        </w:numPr>
        <w:contextualSpacing/>
      </w:pPr>
      <w:r>
        <w:rPr>
          <w:rFonts w:hint="eastAsia"/>
        </w:rPr>
        <w:t>4G基站室外站址距离</w:t>
      </w:r>
    </w:p>
    <w:p>
      <w:pPr>
        <w:contextualSpacing/>
      </w:pPr>
      <w:r>
        <w:t>首先，在进行覆盖估算前，通信企业会对覆盖指标的判决准则进行规定，即小区覆盖边缘信号电平达到多少为有覆盖边缘速率满足多少为有数据业务，否则为无覆盖，各地方通信企业会有所不同，如上面通信企业要求的-90dBm。</w:t>
      </w:r>
    </w:p>
    <w:p>
      <w:pPr>
        <w:contextualSpacing/>
      </w:pPr>
      <w:r>
        <w:t>其次，通过链路预算（链路预算是在一个通信系统中对发送端、通信链路、传播环境（大气、同轴电缆、波导、光纤等）和接收端中所有增益和衰减的核算。其通常用来估算信号能成功从发射端传送到接收端之间的最远距离）计算各种覆盖区域允许的最大路径损耗。其中链路预算计算公式为</w:t>
      </w:r>
    </w:p>
    <w:p>
      <w:pPr>
        <w:contextualSpacing/>
      </w:pPr>
      <w:r>
        <w:t>上行：PL_UL=Pout_UE+Ga_BS+Ga_UE-Lf_BS-Lp-Lb-Mf-Mp-Mi-S-BS</w:t>
      </w:r>
    </w:p>
    <w:p>
      <w:pPr>
        <w:contextualSpacing/>
      </w:pPr>
      <w:r>
        <w:t>其中 PL_UL:上行链路最大传播损耗Pout_UE:移动台最大发射功率Ga_UE:移动台天线增益Ga_BS:基站天线增益Lf_BS:基站馈线损耗Lp：穿透损耗Lb：人体损耗</w:t>
      </w:r>
    </w:p>
    <w:p>
      <w:pPr>
        <w:contextualSpacing/>
      </w:pPr>
      <w:r>
        <w:t>Mf：阴影衰落余量Mi：干扰余量Mp：快衰落（功控）余量 S_BS：基站接收机灵敏度。</w:t>
      </w:r>
    </w:p>
    <w:p>
      <w:pPr>
        <w:contextualSpacing/>
      </w:pPr>
      <w:r>
        <w:t>下行公式为：PL_DL=Pout_BS+Ga_BS+Ga_UE-Lf_BS-Lp-Lb-Mf-Mp-Mi-S_UE</w:t>
      </w:r>
    </w:p>
    <w:p>
      <w:pPr>
        <w:contextualSpacing/>
      </w:pPr>
      <w:r>
        <w:t>各参数含义可参考上行公式。</w:t>
      </w:r>
    </w:p>
    <w:p>
      <w:pPr>
        <w:contextualSpacing/>
      </w:pPr>
      <w:r>
        <w:t>上下行预算结果一般不同，实际有效的覆盖范围将取决于上下行两路预算中的较小者。</w:t>
      </w:r>
    </w:p>
    <w:p>
      <w:pPr>
        <w:contextualSpacing/>
      </w:pPr>
      <w:r>
        <w:t>第三步，计算出最大路径损耗后，通过传播模型计算最大损耗情况下小区的覆盖半径。</w:t>
      </w:r>
    </w:p>
    <w:p>
      <w:pPr>
        <w:contextualSpacing/>
      </w:pPr>
      <w:r>
        <w:t>依照4G</w:t>
      </w:r>
      <w:r>
        <w:rPr>
          <w:rFonts w:hint="eastAsia"/>
        </w:rPr>
        <w:t>频段（</w:t>
      </w:r>
      <w:r>
        <w:t>2575-2615MH</w:t>
      </w:r>
      <w:r>
        <w:rPr>
          <w:rFonts w:hint="eastAsia"/>
        </w:rPr>
        <w:t>z）</w:t>
      </w:r>
      <w:r>
        <w:t>频率为例：边缘速率</w:t>
      </w:r>
      <w:r>
        <w:rPr>
          <w:rFonts w:hint="eastAsia"/>
        </w:rPr>
        <w:t>为</w:t>
      </w:r>
      <w:r>
        <w:t>4Mbps。</w:t>
      </w:r>
    </w:p>
    <w:p>
      <w:pPr>
        <w:contextualSpacing/>
      </w:pPr>
      <w:r>
        <w:t>本次仿真通用参数如下：</w:t>
      </w:r>
    </w:p>
    <w:p>
      <w:pPr>
        <w:contextualSpacing/>
      </w:pPr>
      <w:r>
        <w:t>地图：采用三维地图；</w:t>
      </w:r>
    </w:p>
    <w:p>
      <w:pPr>
        <w:contextualSpacing/>
      </w:pPr>
      <w:r>
        <w:t>传播模型为SPM标准模型；</w:t>
      </w:r>
    </w:p>
    <w:p>
      <w:pPr>
        <w:contextualSpacing/>
      </w:pPr>
      <w:r>
        <w:t>手机发射功率23dBm；</w:t>
      </w:r>
    </w:p>
    <w:p>
      <w:pPr>
        <w:contextualSpacing/>
      </w:pPr>
      <w:r>
        <w:t>小区发射功率43dBm；</w:t>
      </w:r>
    </w:p>
    <w:p>
      <w:pPr>
        <w:contextualSpacing/>
      </w:pPr>
      <w:r>
        <w:t>静态业务负载：上行：50%；下行：50%；（干扰余量：一般取2）；</w:t>
      </w:r>
    </w:p>
    <w:p>
      <w:pPr>
        <w:contextualSpacing/>
      </w:pPr>
      <w:r>
        <w:t>天线：水平半功率角65°，增益18dBi，收发均为2端口；</w:t>
      </w:r>
    </w:p>
    <w:p>
      <w:pPr>
        <w:contextualSpacing/>
      </w:pPr>
      <w:r>
        <w:t>MiMo模式：上行：分集；下行：分集。</w:t>
      </w:r>
    </w:p>
    <w:p>
      <w:pPr>
        <w:contextualSpacing/>
      </w:pPr>
      <w:r>
        <w:t>根据链路运算公式：</w:t>
      </w:r>
    </w:p>
    <w:p>
      <w:pPr>
        <w:contextualSpacing/>
      </w:pPr>
      <w:r>
        <w:t>PL=27.33+44.05*LOG(d,10)+5.83*LOG(Hteff,10)+Diffraction loss-6.55*LOG(d,10)*LOG(Hteff,10)获得下述计算结果</w:t>
      </w:r>
      <w:r>
        <w:rPr>
          <w:rFonts w:hint="eastAsia"/>
        </w:rPr>
        <w:t>。</w:t>
      </w:r>
    </w:p>
    <w:p>
      <w:pPr>
        <w:tabs>
          <w:tab w:val="left" w:pos="2004"/>
        </w:tabs>
        <w:ind w:firstLine="420"/>
        <w:contextualSpacing/>
        <w:jc w:val="center"/>
        <w:rPr>
          <w:sz w:val="21"/>
          <w:szCs w:val="21"/>
        </w:rPr>
      </w:pPr>
      <w:r>
        <w:rPr>
          <w:rFonts w:hint="eastAsia"/>
          <w:sz w:val="21"/>
          <w:szCs w:val="21"/>
        </w:rPr>
        <w:t>表6</w:t>
      </w:r>
      <w:r>
        <w:rPr>
          <w:sz w:val="21"/>
          <w:szCs w:val="21"/>
        </w:rPr>
        <w:t>.1</w:t>
      </w:r>
      <w:r>
        <w:rPr>
          <w:rFonts w:hint="eastAsia"/>
          <w:sz w:val="21"/>
          <w:szCs w:val="21"/>
        </w:rPr>
        <w:t>.2</w:t>
      </w:r>
      <w:r>
        <w:rPr>
          <w:sz w:val="21"/>
          <w:szCs w:val="21"/>
        </w:rPr>
        <w:t>-</w:t>
      </w:r>
      <w:r>
        <w:rPr>
          <w:rFonts w:hint="eastAsia"/>
          <w:sz w:val="21"/>
          <w:szCs w:val="21"/>
        </w:rPr>
        <w:t>1 4G</w:t>
      </w:r>
      <w:r>
        <w:rPr>
          <w:sz w:val="21"/>
          <w:szCs w:val="21"/>
        </w:rPr>
        <w:t>宏基站设置</w:t>
      </w:r>
      <w:r>
        <w:rPr>
          <w:rFonts w:hint="eastAsia"/>
          <w:sz w:val="21"/>
          <w:szCs w:val="21"/>
        </w:rPr>
        <w:t>站间距离</w:t>
      </w:r>
      <w:r>
        <w:rPr>
          <w:sz w:val="21"/>
          <w:szCs w:val="21"/>
        </w:rPr>
        <w:t>标准</w:t>
      </w:r>
    </w:p>
    <w:tbl>
      <w:tblPr>
        <w:tblStyle w:val="27"/>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11"/>
        <w:gridCol w:w="1211"/>
        <w:gridCol w:w="1362"/>
        <w:gridCol w:w="1551"/>
        <w:gridCol w:w="144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136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电信企业</w:t>
            </w: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系统制式</w:t>
            </w: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工作频段</w:t>
            </w:r>
          </w:p>
        </w:tc>
        <w:tc>
          <w:tcPr>
            <w:tcW w:w="1362"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密集城区</w:t>
            </w:r>
          </w:p>
        </w:tc>
        <w:tc>
          <w:tcPr>
            <w:tcW w:w="155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一般城区/县城</w:t>
            </w:r>
          </w:p>
        </w:tc>
        <w:tc>
          <w:tcPr>
            <w:tcW w:w="144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乡镇镇区</w:t>
            </w:r>
          </w:p>
        </w:tc>
        <w:tc>
          <w:tcPr>
            <w:tcW w:w="140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61"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中国移动</w:t>
            </w:r>
          </w:p>
        </w:tc>
        <w:tc>
          <w:tcPr>
            <w:tcW w:w="1211"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TD-LTE</w:t>
            </w: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1.9GHz</w:t>
            </w:r>
          </w:p>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（F频段）</w:t>
            </w:r>
          </w:p>
        </w:tc>
        <w:tc>
          <w:tcPr>
            <w:tcW w:w="1362"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300~400</w:t>
            </w:r>
          </w:p>
        </w:tc>
        <w:tc>
          <w:tcPr>
            <w:tcW w:w="155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400~500</w:t>
            </w:r>
          </w:p>
        </w:tc>
        <w:tc>
          <w:tcPr>
            <w:tcW w:w="144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500~800</w:t>
            </w:r>
          </w:p>
        </w:tc>
        <w:tc>
          <w:tcPr>
            <w:tcW w:w="140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61" w:type="dxa"/>
            <w:vMerge w:val="continue"/>
            <w:vAlign w:val="center"/>
          </w:tcPr>
          <w:p>
            <w:pPr>
              <w:widowControl/>
              <w:spacing w:line="240" w:lineRule="auto"/>
              <w:ind w:firstLine="0" w:firstLineChars="0"/>
              <w:jc w:val="center"/>
              <w:rPr>
                <w:rFonts w:ascii="宋体" w:hAnsi="宋体" w:cs="宋体"/>
                <w:color w:val="000000"/>
                <w:kern w:val="0"/>
                <w:sz w:val="21"/>
                <w:szCs w:val="21"/>
              </w:rPr>
            </w:pPr>
          </w:p>
        </w:tc>
        <w:tc>
          <w:tcPr>
            <w:tcW w:w="1211" w:type="dxa"/>
            <w:vMerge w:val="continue"/>
            <w:vAlign w:val="center"/>
          </w:tcPr>
          <w:p>
            <w:pPr>
              <w:widowControl/>
              <w:spacing w:line="240" w:lineRule="auto"/>
              <w:ind w:firstLine="0" w:firstLineChars="0"/>
              <w:jc w:val="center"/>
              <w:rPr>
                <w:rFonts w:ascii="宋体" w:hAnsi="宋体" w:cs="宋体"/>
                <w:color w:val="000000"/>
                <w:kern w:val="0"/>
                <w:sz w:val="21"/>
                <w:szCs w:val="21"/>
              </w:rPr>
            </w:pP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2.6GHz</w:t>
            </w:r>
          </w:p>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（D频段）</w:t>
            </w:r>
          </w:p>
        </w:tc>
        <w:tc>
          <w:tcPr>
            <w:tcW w:w="1362"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250~350</w:t>
            </w:r>
          </w:p>
        </w:tc>
        <w:tc>
          <w:tcPr>
            <w:tcW w:w="155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350~450</w:t>
            </w:r>
          </w:p>
        </w:tc>
        <w:tc>
          <w:tcPr>
            <w:tcW w:w="144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450~700</w:t>
            </w:r>
          </w:p>
        </w:tc>
        <w:tc>
          <w:tcPr>
            <w:tcW w:w="140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6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中国联通</w:t>
            </w:r>
          </w:p>
        </w:tc>
        <w:tc>
          <w:tcPr>
            <w:tcW w:w="1211"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LTE FDD</w:t>
            </w: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1.8GHz</w:t>
            </w:r>
          </w:p>
        </w:tc>
        <w:tc>
          <w:tcPr>
            <w:tcW w:w="1362"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350~450</w:t>
            </w:r>
          </w:p>
        </w:tc>
        <w:tc>
          <w:tcPr>
            <w:tcW w:w="1551"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450~600</w:t>
            </w:r>
          </w:p>
        </w:tc>
        <w:tc>
          <w:tcPr>
            <w:tcW w:w="1446"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600~900</w:t>
            </w:r>
          </w:p>
        </w:tc>
        <w:tc>
          <w:tcPr>
            <w:tcW w:w="1406"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61" w:type="dxa"/>
            <w:vMerge w:val="restart"/>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中国电信</w:t>
            </w:r>
          </w:p>
        </w:tc>
        <w:tc>
          <w:tcPr>
            <w:tcW w:w="1211" w:type="dxa"/>
            <w:vMerge w:val="continue"/>
            <w:vAlign w:val="center"/>
          </w:tcPr>
          <w:p>
            <w:pPr>
              <w:widowControl/>
              <w:spacing w:line="240" w:lineRule="auto"/>
              <w:ind w:firstLine="0" w:firstLineChars="0"/>
              <w:rPr>
                <w:rFonts w:ascii="宋体" w:hAnsi="宋体" w:cs="宋体"/>
                <w:color w:val="000000"/>
                <w:kern w:val="0"/>
                <w:sz w:val="21"/>
                <w:szCs w:val="21"/>
              </w:rPr>
            </w:pP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1.8GHz</w:t>
            </w:r>
          </w:p>
        </w:tc>
        <w:tc>
          <w:tcPr>
            <w:tcW w:w="1362" w:type="dxa"/>
            <w:vMerge w:val="continue"/>
            <w:vAlign w:val="center"/>
          </w:tcPr>
          <w:p>
            <w:pPr>
              <w:widowControl/>
              <w:spacing w:line="240" w:lineRule="auto"/>
              <w:ind w:firstLine="0" w:firstLineChars="0"/>
              <w:rPr>
                <w:rFonts w:ascii="宋体" w:hAnsi="宋体" w:cs="宋体"/>
                <w:color w:val="000000"/>
                <w:kern w:val="0"/>
                <w:sz w:val="21"/>
                <w:szCs w:val="21"/>
              </w:rPr>
            </w:pPr>
          </w:p>
        </w:tc>
        <w:tc>
          <w:tcPr>
            <w:tcW w:w="1551" w:type="dxa"/>
            <w:vMerge w:val="continue"/>
            <w:vAlign w:val="center"/>
          </w:tcPr>
          <w:p>
            <w:pPr>
              <w:widowControl/>
              <w:spacing w:line="240" w:lineRule="auto"/>
              <w:ind w:firstLine="0" w:firstLineChars="0"/>
              <w:rPr>
                <w:rFonts w:ascii="宋体" w:hAnsi="宋体" w:cs="宋体"/>
                <w:color w:val="000000"/>
                <w:kern w:val="0"/>
                <w:sz w:val="21"/>
                <w:szCs w:val="21"/>
              </w:rPr>
            </w:pPr>
          </w:p>
        </w:tc>
        <w:tc>
          <w:tcPr>
            <w:tcW w:w="1446" w:type="dxa"/>
            <w:vMerge w:val="continue"/>
            <w:vAlign w:val="center"/>
          </w:tcPr>
          <w:p>
            <w:pPr>
              <w:widowControl/>
              <w:spacing w:line="240" w:lineRule="auto"/>
              <w:ind w:firstLine="0" w:firstLineChars="0"/>
              <w:rPr>
                <w:rFonts w:ascii="宋体" w:hAnsi="宋体" w:cs="宋体"/>
                <w:color w:val="000000"/>
                <w:kern w:val="0"/>
                <w:sz w:val="21"/>
                <w:szCs w:val="21"/>
              </w:rPr>
            </w:pPr>
          </w:p>
        </w:tc>
        <w:tc>
          <w:tcPr>
            <w:tcW w:w="1406" w:type="dxa"/>
            <w:vMerge w:val="continue"/>
            <w:vAlign w:val="center"/>
          </w:tcPr>
          <w:p>
            <w:pPr>
              <w:widowControl/>
              <w:spacing w:line="240" w:lineRule="auto"/>
              <w:ind w:firstLine="0" w:firstLineChars="0"/>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61" w:type="dxa"/>
            <w:vMerge w:val="continue"/>
            <w:vAlign w:val="center"/>
          </w:tcPr>
          <w:p>
            <w:pPr>
              <w:widowControl/>
              <w:spacing w:line="240" w:lineRule="auto"/>
              <w:ind w:firstLine="0" w:firstLineChars="0"/>
              <w:jc w:val="center"/>
              <w:rPr>
                <w:rFonts w:ascii="宋体" w:hAnsi="宋体" w:cs="宋体"/>
                <w:color w:val="000000"/>
                <w:kern w:val="0"/>
                <w:sz w:val="21"/>
                <w:szCs w:val="21"/>
              </w:rPr>
            </w:pPr>
          </w:p>
        </w:tc>
        <w:tc>
          <w:tcPr>
            <w:tcW w:w="1211" w:type="dxa"/>
            <w:vMerge w:val="continue"/>
            <w:vAlign w:val="center"/>
          </w:tcPr>
          <w:p>
            <w:pPr>
              <w:widowControl/>
              <w:spacing w:line="240" w:lineRule="auto"/>
              <w:ind w:firstLine="0" w:firstLineChars="0"/>
              <w:jc w:val="center"/>
              <w:rPr>
                <w:rFonts w:ascii="宋体" w:hAnsi="宋体" w:cs="宋体"/>
                <w:color w:val="000000"/>
                <w:kern w:val="0"/>
                <w:sz w:val="21"/>
                <w:szCs w:val="21"/>
              </w:rPr>
            </w:pPr>
          </w:p>
        </w:tc>
        <w:tc>
          <w:tcPr>
            <w:tcW w:w="121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800M</w:t>
            </w:r>
          </w:p>
        </w:tc>
        <w:tc>
          <w:tcPr>
            <w:tcW w:w="1362"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400~500</w:t>
            </w:r>
          </w:p>
        </w:tc>
        <w:tc>
          <w:tcPr>
            <w:tcW w:w="1551"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600~800</w:t>
            </w:r>
          </w:p>
        </w:tc>
        <w:tc>
          <w:tcPr>
            <w:tcW w:w="1446" w:type="dxa"/>
            <w:shd w:val="clear" w:color="auto" w:fill="auto"/>
            <w:vAlign w:val="center"/>
          </w:tcPr>
          <w:p>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800~1200</w:t>
            </w:r>
          </w:p>
        </w:tc>
        <w:tc>
          <w:tcPr>
            <w:tcW w:w="1406" w:type="dxa"/>
            <w:shd w:val="clear" w:color="auto" w:fill="auto"/>
            <w:vAlign w:val="center"/>
          </w:tcPr>
          <w:p>
            <w:pPr>
              <w:widowControl/>
              <w:spacing w:line="240" w:lineRule="auto"/>
              <w:ind w:firstLine="210" w:firstLineChars="100"/>
              <w:jc w:val="both"/>
              <w:rPr>
                <w:rFonts w:ascii="宋体" w:hAnsi="宋体" w:cs="宋体"/>
                <w:color w:val="000000"/>
                <w:kern w:val="0"/>
                <w:sz w:val="21"/>
                <w:szCs w:val="21"/>
              </w:rPr>
            </w:pPr>
            <w:r>
              <w:rPr>
                <w:rFonts w:hint="eastAsia" w:ascii="宋体" w:hAnsi="宋体" w:cs="宋体"/>
                <w:color w:val="000000"/>
                <w:kern w:val="0"/>
                <w:sz w:val="21"/>
                <w:szCs w:val="21"/>
              </w:rPr>
              <w:t>1500~3000</w:t>
            </w:r>
            <w:r>
              <w:rPr>
                <w:rFonts w:ascii="宋体" w:hAnsi="宋体" w:cs="宋体"/>
                <w:color w:val="000000"/>
                <w:kern w:val="0"/>
                <w:sz w:val="21"/>
                <w:szCs w:val="21"/>
              </w:rPr>
              <w:t xml:space="preserve"> </w:t>
            </w:r>
          </w:p>
        </w:tc>
      </w:tr>
    </w:tbl>
    <w:p>
      <w:pPr>
        <w:numPr>
          <w:ilvl w:val="0"/>
          <w:numId w:val="32"/>
        </w:numPr>
        <w:contextualSpacing/>
      </w:pPr>
      <w:r>
        <w:rPr>
          <w:rFonts w:hint="eastAsia"/>
        </w:rPr>
        <w:t>5G组网技术策略</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由于目前</w:t>
      </w:r>
      <w:r>
        <w:rPr>
          <w:rFonts w:hint="eastAsia" w:asciiTheme="minorEastAsia" w:hAnsiTheme="minorEastAsia" w:eastAsiaTheme="minorEastAsia"/>
          <w:lang w:val="en-US"/>
        </w:rPr>
        <w:t>5G处于实验网阶段，尚未发布正式标准，鉴于收集和整理的资料，5G分为：</w:t>
      </w:r>
      <w:r>
        <w:rPr>
          <w:rFonts w:hint="eastAsia" w:asciiTheme="minorEastAsia" w:hAnsiTheme="minorEastAsia" w:eastAsiaTheme="minorEastAsia"/>
        </w:rPr>
        <w:t>5G独立组网（SA）标准与5G NSA（非独立组网）标准，运营商可采用NSA和SA两种标准开展5G组网建设。</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NSA需使用现有4G核心网和4G基站，以4G作为控制面锚点，来满足激进运营商利用现有LTE网络资源实现5G NR的快速部署需求；NSA主要以提升热点区域网络带宽为主要目标，由于非独立组网没有独立信令面，仍需依托4G基站和核心网工作，因此NSA无法真正发挥5G网络性能和能力，而且NSA终端是双连接，很多对时延敏感的业务体验不佳。</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SA是业界公认的5G目标方案，能实现所有5G的新特征，有利于充分发挥5G全部能力。SA涵盖无线接口、核心网、接入网、网管等实现端到端通信系统的所有5G全新标准，采用端到端的5G网络架构，支持5G各类接口，实现5G各项功能，提供更多5G服务。</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以典型3.5GHz组网为例，相比SA在NSA组网下，终端在3.5GHz上行只有单发，导致以下不足，上行覆盖受损3dB，终端上行只有单发功能，发射功率只有23dBm，导致上行覆盖受损，单用户NR上行速率减少，上行失去SU-MIMO双流Beam-forming能力，小区吞吐率损失，下行无法实现MU-MIMO和SU-MIMO并行。在覆盖方面，假设考虑2Mbit/s边缘速率需求，NSA 64TR组网下覆盖半径为167米，而SA64TR为245米，SA组网覆盖性能全面优于NSA，结合未来5G业务部署的需求来看，NSA将只作为5G网络的过渡方案，SA是5G网络的终极方案，5G资源储备建议按照SA组网需求进行配置。</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以3.5GHz SA组网下的站址需求评估为例，通过基于Hata模型链路预算分析两种之间的站址需求差异发现，5G信道上行受限，3.5GHz在空间损耗上要差于2.6GHz，但考虑到SA模式下上行双发等优势，上行2Mbit/s的边缘速率时，3.5GHz室外覆盖距离为245米（站间距360米），与现有2.6GHz的8T8R组网、上行512kbit/s时小区覆盖230米相当，因此，在站址需求方面与4G D频段规模相当，假设4G每平方公里9个站（上行512kbit/s），则5G站址需求标准为每平方公里也为9个站（上行2Mbit/s）。</w:t>
      </w:r>
    </w:p>
    <w:p>
      <w:pPr>
        <w:spacing w:line="276" w:lineRule="auto"/>
        <w:ind w:firstLine="420"/>
        <w:jc w:val="center"/>
        <w:rPr>
          <w:sz w:val="21"/>
          <w:szCs w:val="21"/>
        </w:rPr>
      </w:pPr>
      <w:r>
        <w:rPr>
          <w:rFonts w:hint="eastAsia"/>
          <w:sz w:val="21"/>
          <w:szCs w:val="21"/>
        </w:rPr>
        <w:t>表6.1.2-2 5G</w:t>
      </w:r>
      <w:r>
        <w:rPr>
          <w:sz w:val="21"/>
          <w:szCs w:val="21"/>
        </w:rPr>
        <w:t>宏基站设置</w:t>
      </w:r>
      <w:r>
        <w:rPr>
          <w:rFonts w:hint="eastAsia"/>
          <w:sz w:val="21"/>
          <w:szCs w:val="21"/>
        </w:rPr>
        <w:t>站间距离</w:t>
      </w:r>
      <w:r>
        <w:rPr>
          <w:sz w:val="21"/>
          <w:szCs w:val="21"/>
        </w:rPr>
        <w:t>标准</w:t>
      </w:r>
    </w:p>
    <w:tbl>
      <w:tblPr>
        <w:tblStyle w:val="27"/>
        <w:tblW w:w="9549" w:type="dxa"/>
        <w:tblInd w:w="0" w:type="dxa"/>
        <w:shd w:val="clear" w:color="auto" w:fill="FFFFFF" w:themeFill="background1"/>
        <w:tblLayout w:type="fixed"/>
        <w:tblCellMar>
          <w:top w:w="0" w:type="dxa"/>
          <w:left w:w="0" w:type="dxa"/>
          <w:bottom w:w="0" w:type="dxa"/>
          <w:right w:w="0" w:type="dxa"/>
        </w:tblCellMar>
      </w:tblPr>
      <w:tblGrid>
        <w:gridCol w:w="1299"/>
        <w:gridCol w:w="1723"/>
        <w:gridCol w:w="1715"/>
        <w:gridCol w:w="972"/>
        <w:gridCol w:w="1920"/>
        <w:gridCol w:w="960"/>
        <w:gridCol w:w="960"/>
      </w:tblGrid>
      <w:tr>
        <w:tblPrEx>
          <w:shd w:val="clear" w:color="auto" w:fill="FFFFFF" w:themeFill="background1"/>
          <w:tblCellMar>
            <w:top w:w="0" w:type="dxa"/>
            <w:left w:w="0" w:type="dxa"/>
            <w:bottom w:w="0" w:type="dxa"/>
            <w:right w:w="0" w:type="dxa"/>
          </w:tblCellMar>
        </w:tblPrEx>
        <w:trPr>
          <w:trHeight w:val="666" w:hRule="atLeast"/>
          <w:tblHeader/>
        </w:trPr>
        <w:tc>
          <w:tcPr>
            <w:tcW w:w="129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网络制式</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工作频段</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密集城区</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一般城区/县城</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spacing w:line="240" w:lineRule="auto"/>
              <w:ind w:firstLine="0" w:firstLineChars="0"/>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0"/>
                <w:sz w:val="21"/>
                <w:szCs w:val="21"/>
              </w:rPr>
              <w:t>乡镇镇区</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spacing w:line="240" w:lineRule="auto"/>
              <w:ind w:firstLine="0" w:firstLineChars="0"/>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0"/>
                <w:sz w:val="21"/>
                <w:szCs w:val="21"/>
              </w:rPr>
              <w:t>农村</w:t>
            </w:r>
          </w:p>
        </w:tc>
      </w:tr>
      <w:tr>
        <w:tblPrEx>
          <w:shd w:val="clear" w:color="auto" w:fill="FFFFFF" w:themeFill="background1"/>
          <w:tblCellMar>
            <w:top w:w="0" w:type="dxa"/>
            <w:left w:w="0" w:type="dxa"/>
            <w:bottom w:w="0" w:type="dxa"/>
            <w:right w:w="0" w:type="dxa"/>
          </w:tblCellMar>
        </w:tblPrEx>
        <w:trPr>
          <w:trHeight w:val="575"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中国移动</w:t>
            </w:r>
          </w:p>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5G</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2.6GHz</w:t>
            </w:r>
          </w:p>
        </w:tc>
        <w:tc>
          <w:tcPr>
            <w:tcW w:w="17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站间距（m）</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300~400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400~500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500~800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800~1000</w:t>
            </w:r>
          </w:p>
        </w:tc>
      </w:tr>
      <w:tr>
        <w:tblPrEx>
          <w:shd w:val="clear" w:color="auto" w:fill="FFFFFF" w:themeFill="background1"/>
          <w:tblCellMar>
            <w:top w:w="0" w:type="dxa"/>
            <w:left w:w="0" w:type="dxa"/>
            <w:bottom w:w="0" w:type="dxa"/>
            <w:right w:w="0" w:type="dxa"/>
          </w:tblCellMar>
        </w:tblPrEx>
        <w:trPr>
          <w:trHeight w:val="57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jc w:val="center"/>
              <w:rPr>
                <w:rFonts w:asciiTheme="minorEastAsia" w:hAnsiTheme="minorEastAsia" w:eastAsiaTheme="minorEastAsia" w:cstheme="minorEastAsia"/>
                <w:kern w:val="0"/>
                <w:sz w:val="21"/>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jc w:val="center"/>
              <w:rPr>
                <w:rFonts w:asciiTheme="minorEastAsia" w:hAnsiTheme="minorEastAsia" w:eastAsiaTheme="minorEastAsia" w:cstheme="minorEastAsia"/>
                <w:kern w:val="0"/>
                <w:sz w:val="21"/>
                <w:szCs w:val="21"/>
              </w:rPr>
            </w:pPr>
          </w:p>
        </w:tc>
        <w:tc>
          <w:tcPr>
            <w:tcW w:w="17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both"/>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偏移比例</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10%~15%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10%~15%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10%~15%</w:t>
            </w:r>
          </w:p>
        </w:tc>
      </w:tr>
      <w:tr>
        <w:tblPrEx>
          <w:shd w:val="clear" w:color="auto" w:fill="FFFFFF" w:themeFill="background1"/>
          <w:tblCellMar>
            <w:top w:w="0" w:type="dxa"/>
            <w:left w:w="0" w:type="dxa"/>
            <w:bottom w:w="0" w:type="dxa"/>
            <w:right w:w="0" w:type="dxa"/>
          </w:tblCellMar>
        </w:tblPrEx>
        <w:trPr>
          <w:trHeight w:val="57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jc w:val="center"/>
              <w:rPr>
                <w:rFonts w:asciiTheme="minorEastAsia" w:hAnsiTheme="minorEastAsia" w:eastAsiaTheme="minorEastAsia" w:cstheme="minorEastAsia"/>
                <w:kern w:val="0"/>
                <w:sz w:val="21"/>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jc w:val="center"/>
              <w:rPr>
                <w:rFonts w:asciiTheme="minorEastAsia" w:hAnsiTheme="minorEastAsia" w:eastAsiaTheme="minorEastAsia" w:cstheme="minorEastAsia"/>
                <w:kern w:val="0"/>
                <w:sz w:val="21"/>
                <w:szCs w:val="21"/>
              </w:rPr>
            </w:pPr>
          </w:p>
        </w:tc>
        <w:tc>
          <w:tcPr>
            <w:tcW w:w="17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both"/>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偏移距离（m）</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30~60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40~85</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r>
      <w:tr>
        <w:tblPrEx>
          <w:shd w:val="clear" w:color="auto" w:fill="FFFFFF" w:themeFill="background1"/>
          <w:tblCellMar>
            <w:top w:w="0" w:type="dxa"/>
            <w:left w:w="0" w:type="dxa"/>
            <w:bottom w:w="0" w:type="dxa"/>
            <w:right w:w="0" w:type="dxa"/>
          </w:tblCellMar>
        </w:tblPrEx>
        <w:trPr>
          <w:trHeight w:val="575"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中国联通/</w:t>
            </w:r>
          </w:p>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电信5G</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3.5GHz</w:t>
            </w:r>
          </w:p>
        </w:tc>
        <w:tc>
          <w:tcPr>
            <w:tcW w:w="17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站间距（m）</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250~350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300~400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r>
      <w:tr>
        <w:tblPrEx>
          <w:shd w:val="clear" w:color="auto" w:fill="FFFFFF" w:themeFill="background1"/>
          <w:tblCellMar>
            <w:top w:w="0" w:type="dxa"/>
            <w:left w:w="0" w:type="dxa"/>
            <w:bottom w:w="0" w:type="dxa"/>
            <w:right w:w="0" w:type="dxa"/>
          </w:tblCellMar>
        </w:tblPrEx>
        <w:trPr>
          <w:trHeight w:val="57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rPr>
                <w:rFonts w:asciiTheme="minorEastAsia" w:hAnsiTheme="minorEastAsia" w:eastAsiaTheme="minorEastAsia" w:cstheme="minorEastAsia"/>
                <w:kern w:val="0"/>
                <w:sz w:val="21"/>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rPr>
                <w:rFonts w:asciiTheme="minorEastAsia" w:hAnsiTheme="minorEastAsia" w:eastAsiaTheme="minorEastAsia" w:cstheme="minorEastAsia"/>
                <w:kern w:val="0"/>
                <w:sz w:val="21"/>
                <w:szCs w:val="21"/>
              </w:rPr>
            </w:pPr>
          </w:p>
        </w:tc>
        <w:tc>
          <w:tcPr>
            <w:tcW w:w="17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both"/>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偏移比例</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10%~15%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10%~15%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r>
      <w:tr>
        <w:tblPrEx>
          <w:shd w:val="clear" w:color="auto" w:fill="FFFFFF" w:themeFill="background1"/>
          <w:tblCellMar>
            <w:top w:w="0" w:type="dxa"/>
            <w:left w:w="0" w:type="dxa"/>
            <w:bottom w:w="0" w:type="dxa"/>
            <w:right w:w="0" w:type="dxa"/>
          </w:tblCellMar>
        </w:tblPrEx>
        <w:trPr>
          <w:trHeight w:val="57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rPr>
                <w:rFonts w:asciiTheme="minorEastAsia" w:hAnsiTheme="minorEastAsia" w:eastAsiaTheme="minorEastAsia" w:cstheme="minorEastAsia"/>
                <w:kern w:val="0"/>
                <w:sz w:val="21"/>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ind w:firstLine="420"/>
              <w:rPr>
                <w:rFonts w:asciiTheme="minorEastAsia" w:hAnsiTheme="minorEastAsia" w:eastAsiaTheme="minorEastAsia" w:cstheme="minorEastAsia"/>
                <w:kern w:val="0"/>
                <w:sz w:val="21"/>
                <w:szCs w:val="21"/>
              </w:rPr>
            </w:pPr>
          </w:p>
        </w:tc>
        <w:tc>
          <w:tcPr>
            <w:tcW w:w="17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偏移距离（m）</w:t>
            </w:r>
          </w:p>
        </w:tc>
        <w:tc>
          <w:tcPr>
            <w:tcW w:w="97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0" w:firstLineChars="0"/>
              <w:jc w:val="center"/>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25~50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textAlignment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24"/>
                <w:sz w:val="21"/>
                <w:szCs w:val="21"/>
              </w:rPr>
              <w:t>30~60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bottom w:w="0" w:type="dxa"/>
              <w:right w:w="15" w:type="dxa"/>
            </w:tcMar>
            <w:vAlign w:val="center"/>
          </w:tcPr>
          <w:p>
            <w:pPr>
              <w:widowControl/>
              <w:ind w:firstLine="420"/>
              <w:jc w:val="center"/>
              <w:textAlignment w:val="center"/>
              <w:rPr>
                <w:rFonts w:asciiTheme="minorEastAsia" w:hAnsiTheme="minorEastAsia" w:eastAsiaTheme="minorEastAsia" w:cstheme="minorEastAsia"/>
                <w:color w:val="000000"/>
                <w:kern w:val="24"/>
                <w:sz w:val="21"/>
                <w:szCs w:val="21"/>
              </w:rPr>
            </w:pPr>
          </w:p>
        </w:tc>
      </w:tr>
    </w:tbl>
    <w:p>
      <w:pPr>
        <w:pStyle w:val="42"/>
        <w:numPr>
          <w:ilvl w:val="0"/>
          <w:numId w:val="33"/>
        </w:numPr>
        <w:ind w:left="0" w:firstLine="420" w:firstLineChars="0"/>
        <w:rPr>
          <w:rFonts w:asciiTheme="minorEastAsia" w:hAnsiTheme="minorEastAsia" w:eastAsiaTheme="minorEastAsia"/>
          <w:lang w:val="en-US"/>
        </w:rPr>
      </w:pPr>
      <w:r>
        <w:rPr>
          <w:rFonts w:hint="eastAsia" w:asciiTheme="minorEastAsia" w:hAnsiTheme="minorEastAsia" w:eastAsiaTheme="minorEastAsia"/>
        </w:rPr>
        <w:t>综上案例所述，结合</w:t>
      </w:r>
      <w:r>
        <w:rPr>
          <w:rFonts w:hint="eastAsia" w:asciiTheme="minorEastAsia" w:hAnsiTheme="minorEastAsia" w:eastAsiaTheme="minorEastAsia"/>
          <w:lang w:val="en-US"/>
        </w:rPr>
        <w:t>4G覆盖参数距离，推算</w:t>
      </w:r>
      <w:r>
        <w:fldChar w:fldCharType="begin"/>
      </w:r>
      <w:r>
        <w:instrText xml:space="preserve"> HYPERLINK "https://rf.eefocus.com/tag/term/5G/m/article" \t "https://rf.eefocus.com/article/_blank" </w:instrText>
      </w:r>
      <w:r>
        <w:fldChar w:fldCharType="separate"/>
      </w:r>
      <w:r>
        <w:rPr>
          <w:rFonts w:hint="eastAsia" w:asciiTheme="minorEastAsia" w:hAnsiTheme="minorEastAsia" w:eastAsiaTheme="minorEastAsia"/>
        </w:rPr>
        <w:t>5G</w:t>
      </w:r>
      <w:r>
        <w:rPr>
          <w:rFonts w:hint="eastAsia" w:asciiTheme="minorEastAsia" w:hAnsiTheme="minorEastAsia" w:eastAsiaTheme="minorEastAsia"/>
        </w:rPr>
        <w:fldChar w:fldCharType="end"/>
      </w:r>
      <w:r>
        <w:rPr>
          <w:rFonts w:hint="eastAsia" w:asciiTheme="minorEastAsia" w:hAnsiTheme="minorEastAsia" w:eastAsiaTheme="minorEastAsia"/>
        </w:rPr>
        <w:t>覆盖范围，密集</w:t>
      </w:r>
      <w:r>
        <w:rPr>
          <w:rFonts w:hint="eastAsia" w:asciiTheme="minorEastAsia" w:hAnsiTheme="minorEastAsia" w:eastAsiaTheme="minorEastAsia"/>
          <w:lang w:val="en-US" w:eastAsia="zh-CN"/>
        </w:rPr>
        <w:t>城区</w:t>
      </w:r>
      <w:r>
        <w:rPr>
          <w:rFonts w:hint="eastAsia" w:asciiTheme="minorEastAsia" w:hAnsiTheme="minorEastAsia" w:eastAsiaTheme="minorEastAsia"/>
        </w:rPr>
        <w:t>、</w:t>
      </w:r>
      <w:r>
        <w:rPr>
          <w:rFonts w:hint="eastAsia" w:asciiTheme="minorEastAsia" w:hAnsiTheme="minorEastAsia" w:eastAsiaTheme="minorEastAsia"/>
          <w:lang w:eastAsia="zh-CN"/>
        </w:rPr>
        <w:t>一般城区</w:t>
      </w:r>
      <w:r>
        <w:rPr>
          <w:rFonts w:hint="eastAsia" w:asciiTheme="minorEastAsia" w:hAnsiTheme="minorEastAsia" w:eastAsiaTheme="minorEastAsia"/>
        </w:rPr>
        <w:t>大概需要200-300米</w:t>
      </w:r>
      <w:r>
        <w:rPr>
          <w:rFonts w:hint="eastAsia" w:asciiTheme="minorEastAsia" w:hAnsiTheme="minorEastAsia" w:eastAsiaTheme="minorEastAsia"/>
          <w:lang w:val="en-US"/>
        </w:rPr>
        <w:t>1</w:t>
      </w:r>
      <w:r>
        <w:rPr>
          <w:rFonts w:hint="eastAsia" w:asciiTheme="minorEastAsia" w:hAnsiTheme="minorEastAsia" w:eastAsiaTheme="minorEastAsia"/>
        </w:rPr>
        <w:t>个5G基站，普通城区、城郊区及县城大概500米-</w:t>
      </w:r>
      <w:r>
        <w:rPr>
          <w:rFonts w:hint="eastAsia" w:asciiTheme="minorEastAsia" w:hAnsiTheme="minorEastAsia" w:eastAsiaTheme="minorEastAsia"/>
          <w:lang w:val="en-US"/>
        </w:rPr>
        <w:t>800米</w:t>
      </w:r>
      <w:r>
        <w:rPr>
          <w:rFonts w:hint="eastAsia" w:asciiTheme="minorEastAsia" w:hAnsiTheme="minorEastAsia" w:eastAsiaTheme="minorEastAsia"/>
        </w:rPr>
        <w:t>左右1个5G基站，农村大概需要</w:t>
      </w:r>
      <w:r>
        <w:rPr>
          <w:rFonts w:hint="eastAsia" w:asciiTheme="minorEastAsia" w:hAnsiTheme="minorEastAsia" w:eastAsiaTheme="minorEastAsia"/>
          <w:lang w:val="en-US"/>
        </w:rPr>
        <w:t>800米</w:t>
      </w:r>
      <w:r>
        <w:rPr>
          <w:rFonts w:hint="eastAsia" w:asciiTheme="minorEastAsia" w:hAnsiTheme="minorEastAsia" w:eastAsiaTheme="minorEastAsia"/>
        </w:rPr>
        <w:t>-</w:t>
      </w:r>
      <w:r>
        <w:rPr>
          <w:rFonts w:hint="eastAsia" w:asciiTheme="minorEastAsia" w:hAnsiTheme="minorEastAsia" w:eastAsiaTheme="minorEastAsia"/>
          <w:lang w:val="en-US"/>
        </w:rPr>
        <w:t>1</w:t>
      </w:r>
      <w:r>
        <w:rPr>
          <w:rFonts w:hint="eastAsia" w:asciiTheme="minorEastAsia" w:hAnsiTheme="minorEastAsia" w:eastAsiaTheme="minorEastAsia"/>
        </w:rPr>
        <w:t>.5公里</w:t>
      </w:r>
      <w:r>
        <w:rPr>
          <w:rFonts w:hint="eastAsia" w:asciiTheme="minorEastAsia" w:hAnsiTheme="minorEastAsia" w:eastAsiaTheme="minorEastAsia"/>
          <w:lang w:val="en-US"/>
        </w:rPr>
        <w:t>1</w:t>
      </w:r>
      <w:r>
        <w:rPr>
          <w:rFonts w:hint="eastAsia" w:asciiTheme="minorEastAsia" w:hAnsiTheme="minorEastAsia" w:eastAsiaTheme="minorEastAsia"/>
        </w:rPr>
        <w:t>个5G基站。</w:t>
      </w:r>
    </w:p>
    <w:p>
      <w:pPr>
        <w:numPr>
          <w:ilvl w:val="0"/>
          <w:numId w:val="32"/>
        </w:numPr>
        <w:contextualSpacing/>
      </w:pPr>
      <w:r>
        <w:rPr>
          <w:rFonts w:hint="eastAsia"/>
        </w:rPr>
        <w:t>规划期内，需解决城市外扩的广度覆盖问题和城市内张的深度覆盖问题。</w:t>
      </w:r>
    </w:p>
    <w:p>
      <w:pPr>
        <w:numPr>
          <w:ilvl w:val="0"/>
          <w:numId w:val="32"/>
        </w:numPr>
        <w:contextualSpacing/>
      </w:pPr>
      <w:r>
        <w:rPr>
          <w:rFonts w:hint="eastAsia"/>
        </w:rPr>
        <w:t>无线通信基站规划按照“一步规划，分步实施”的总体原则进行。一步规划是指按照满足规划期内业务需求进行站点规划，力求做到重点区域站点布局在较长时期内相对稳定，分布实施是指分期建设，跟随市政规划步骤分布实施位置规划。</w:t>
      </w:r>
    </w:p>
    <w:p>
      <w:pPr>
        <w:numPr>
          <w:ilvl w:val="0"/>
          <w:numId w:val="32"/>
        </w:numPr>
        <w:contextualSpacing/>
      </w:pPr>
      <w:r>
        <w:rPr>
          <w:rFonts w:hint="eastAsia"/>
        </w:rPr>
        <w:t>综合考虑各通信企业的需求，合理分配基站布局，规划站址实现完全共址共建共享。</w:t>
      </w:r>
    </w:p>
    <w:p>
      <w:pPr>
        <w:numPr>
          <w:ilvl w:val="0"/>
          <w:numId w:val="32"/>
        </w:numPr>
        <w:contextualSpacing/>
      </w:pPr>
      <w:r>
        <w:rPr>
          <w:rFonts w:hint="eastAsia"/>
        </w:rPr>
        <w:t>基站建设要同步于城市规划建设，对于新建道路、功能开发区采取新建室外宏基站的方式解决覆盖问题；对新建的大型建筑、建筑群和高密度建筑区、居民区，采取室外宏基站与室内分布系统相结合的方式解决覆盖问题。本次规划只对室外宏基站布局做出规划，</w:t>
      </w:r>
      <w:r>
        <w:rPr>
          <w:rFonts w:hint="eastAsia"/>
          <w:lang w:val="en-US" w:eastAsia="zh-CN"/>
        </w:rPr>
        <w:t>室内分布</w:t>
      </w:r>
      <w:r>
        <w:rPr>
          <w:rFonts w:hint="eastAsia"/>
        </w:rPr>
        <w:t>系统的建设由各通信企业根据实际城市发展情况和测试情况按需建设。</w:t>
      </w:r>
    </w:p>
    <w:p>
      <w:pPr>
        <w:numPr>
          <w:ilvl w:val="0"/>
          <w:numId w:val="32"/>
        </w:numPr>
        <w:contextualSpacing/>
      </w:pPr>
      <w:r>
        <w:rPr>
          <w:rFonts w:hint="eastAsia"/>
        </w:rPr>
        <w:t>对城市改造区、重建区、新建区，用地规划、基础建设还处于开始阶段或尚未开始的，主要规划自建型基站，为其预留土地实现共站址和局房空间分配。对已建城区，主要规划自建型基站和原有基站改造。</w:t>
      </w:r>
    </w:p>
    <w:p>
      <w:pPr>
        <w:pStyle w:val="5"/>
        <w:numPr>
          <w:ilvl w:val="3"/>
          <w:numId w:val="28"/>
        </w:numPr>
        <w:contextualSpacing/>
      </w:pPr>
      <w:r>
        <w:t>基站选址原则</w:t>
      </w:r>
    </w:p>
    <w:p>
      <w:pPr>
        <w:contextualSpacing/>
      </w:pPr>
      <w:r>
        <w:t>（1）新建基站站址优选绿地、广场用地和道路隔离带等城市公共用地区域。</w:t>
      </w:r>
    </w:p>
    <w:p>
      <w:pPr>
        <w:contextualSpacing/>
      </w:pPr>
      <w:r>
        <w:t>（2）站址选择必须满足安全要求，确保网络设备运行的安全，不应选择在易燃、易爆的仓库和材料堆积场，以及在生产过程中散发有毒气体、多烟雾、粉尘、有害物质或者容易发生火灾、爆炸危险的工业企业附近设置；</w:t>
      </w:r>
    </w:p>
    <w:p>
      <w:pPr>
        <w:contextualSpacing/>
      </w:pPr>
      <w:r>
        <w:t>（3）拟建地面塔的</w:t>
      </w:r>
      <w:r>
        <w:rPr>
          <w:rFonts w:hint="eastAsia"/>
        </w:rPr>
        <w:t>站址</w:t>
      </w:r>
      <w:r>
        <w:t>距离电力、通信线路、加油站、加气站、铁路、其他建筑物等危险、重要设施符合相应规范。</w:t>
      </w:r>
    </w:p>
    <w:p>
      <w:pPr>
        <w:contextualSpacing/>
      </w:pPr>
      <w:r>
        <w:t>（4）网络基站站址布局尽量符合蜂窝网的结构；</w:t>
      </w:r>
    </w:p>
    <w:p>
      <w:pPr>
        <w:contextualSpacing/>
      </w:pPr>
      <w:r>
        <w:t>（5）城区站址选择应考虑无线小区话务量分布，站址应设置在需覆盖区域的中心，以保证话务较均衡地分配到基站的各个扇区；</w:t>
      </w:r>
    </w:p>
    <w:p>
      <w:pPr>
        <w:contextualSpacing/>
      </w:pPr>
      <w:r>
        <w:t>（6）天线高度适宜，与同类站点天线高度相近，天线方向有足够的视野，无大的障碍物阻挡。架设天线有足够的位置，如附近有河流，天线方向应与河流方向垂直；</w:t>
      </w:r>
    </w:p>
    <w:p>
      <w:pPr>
        <w:contextualSpacing/>
      </w:pPr>
      <w:r>
        <w:t>（7）对于密集城区，高层建筑较多，应特别注意所选点天线方向有足够视野，无大的阻碍物。同时，还可以充分利用周围建筑物将信号局限在目标区域，避免越区覆盖；</w:t>
      </w:r>
    </w:p>
    <w:p>
      <w:pPr>
        <w:contextualSpacing/>
      </w:pPr>
      <w:r>
        <w:t>（8）宏基站优先选址公共建筑天面，政府和国有企事业单位的办公建筑必须保证对基站建设开放</w:t>
      </w:r>
      <w:r>
        <w:rPr>
          <w:rFonts w:hint="eastAsia"/>
        </w:rPr>
        <w:t>。</w:t>
      </w:r>
    </w:p>
    <w:p>
      <w:pPr>
        <w:pStyle w:val="4"/>
        <w:numPr>
          <w:ilvl w:val="2"/>
          <w:numId w:val="28"/>
        </w:numPr>
        <w:rPr>
          <w:rFonts w:asciiTheme="minorEastAsia" w:hAnsiTheme="minorEastAsia" w:eastAsiaTheme="minorEastAsia"/>
        </w:rPr>
      </w:pPr>
      <w:bookmarkStart w:id="46" w:name="_Toc19642589"/>
      <w:r>
        <w:rPr>
          <w:rFonts w:hint="eastAsia"/>
          <w:lang w:val="en-US" w:eastAsia="zh-CN"/>
        </w:rPr>
        <w:t>室内分布</w:t>
      </w:r>
      <w:r>
        <w:t>规划</w:t>
      </w:r>
      <w:bookmarkEnd w:id="46"/>
      <w:r>
        <w:rPr>
          <w:rFonts w:hint="eastAsia" w:asciiTheme="minorEastAsia" w:hAnsiTheme="minorEastAsia" w:eastAsiaTheme="minorEastAsia"/>
        </w:rPr>
        <w:t xml:space="preserve"> </w:t>
      </w:r>
    </w:p>
    <w:p>
      <w:pPr>
        <w:contextualSpacing/>
      </w:pPr>
      <w:r>
        <w:rPr>
          <w:rFonts w:hint="eastAsia"/>
          <w:lang w:val="en-US" w:eastAsia="zh-CN"/>
        </w:rPr>
        <w:t>室内分布</w:t>
      </w:r>
      <w:r>
        <w:t>建设为</w:t>
      </w:r>
      <w:r>
        <w:rPr>
          <w:rFonts w:hint="eastAsia"/>
          <w:lang w:val="en-US" w:eastAsia="zh-CN"/>
        </w:rPr>
        <w:t>室外站</w:t>
      </w:r>
      <w:r>
        <w:t>建设的补充，主要应用于高层楼宇的电梯和车库、大型写字楼及人口密集的公共场馆等无通信信号的覆盖区域，比如</w:t>
      </w:r>
      <w:r>
        <w:rPr>
          <w:rFonts w:hint="eastAsia"/>
        </w:rPr>
        <w:t>铜梁万达广场</w:t>
      </w:r>
      <w:r>
        <w:t>、</w:t>
      </w:r>
      <w:r>
        <w:rPr>
          <w:rFonts w:hint="eastAsia"/>
        </w:rPr>
        <w:t>铜梁大润华</w:t>
      </w:r>
      <w:r>
        <w:t>、</w:t>
      </w:r>
      <w:r>
        <w:rPr>
          <w:rFonts w:hint="eastAsia"/>
        </w:rPr>
        <w:t>铜梁东宏时代广场</w:t>
      </w:r>
      <w:r>
        <w:t>、</w:t>
      </w:r>
      <w:r>
        <w:rPr>
          <w:rFonts w:hint="eastAsia"/>
        </w:rPr>
        <w:t>铜梁宝莲国际都会</w:t>
      </w:r>
      <w:r>
        <w:t>、</w:t>
      </w:r>
      <w:r>
        <w:rPr>
          <w:rFonts w:hint="eastAsia"/>
        </w:rPr>
        <w:t>重百铜梁商场、潜能商都、龙都财富中心</w:t>
      </w:r>
      <w:r>
        <w:t>等场景，需求量逐年递增。然而，</w:t>
      </w:r>
      <w:r>
        <w:rPr>
          <w:rFonts w:hint="eastAsia"/>
        </w:rPr>
        <w:t>“</w:t>
      </w:r>
      <w:r>
        <w:t>进场难、进场贵</w:t>
      </w:r>
      <w:r>
        <w:rPr>
          <w:rFonts w:hint="eastAsia"/>
        </w:rPr>
        <w:t>”</w:t>
      </w:r>
      <w:r>
        <w:t>问题以及长期以来的</w:t>
      </w:r>
      <w:r>
        <w:rPr>
          <w:rFonts w:hint="eastAsia"/>
        </w:rPr>
        <w:t>“</w:t>
      </w:r>
      <w:r>
        <w:t>潜规则</w:t>
      </w:r>
      <w:r>
        <w:rPr>
          <w:rFonts w:hint="eastAsia"/>
        </w:rPr>
        <w:t>”</w:t>
      </w:r>
      <w:r>
        <w:t>令建设市场混乱无序，困难重重。面对此建设难题，首先，</w:t>
      </w:r>
      <w:r>
        <w:rPr>
          <w:rFonts w:hint="eastAsia"/>
          <w:lang w:val="en-US" w:eastAsia="zh-CN"/>
        </w:rPr>
        <w:t>室内分布</w:t>
      </w:r>
      <w:r>
        <w:t>建设市场要打开共建共享新局面，避免同一楼宇多家通信企业重复申请建设，从源头扭转了以往</w:t>
      </w:r>
      <w:r>
        <w:rPr>
          <w:rFonts w:hint="eastAsia"/>
        </w:rPr>
        <w:t>“</w:t>
      </w:r>
      <w:r>
        <w:t>各自为战、竞价入场</w:t>
      </w:r>
      <w:r>
        <w:rPr>
          <w:rFonts w:hint="eastAsia"/>
        </w:rPr>
        <w:t>”</w:t>
      </w:r>
      <w:r>
        <w:t>的无序状态，规范了通信配套建设市场，提高了</w:t>
      </w:r>
      <w:r>
        <w:rPr>
          <w:rFonts w:hint="eastAsia"/>
          <w:lang w:val="en-US" w:eastAsia="zh-CN"/>
        </w:rPr>
        <w:t>室内分布</w:t>
      </w:r>
      <w:r>
        <w:t>建设集约化水平。坏依其次，政府部门需统筹协调，禁止所在场所的所有者或者管理者漫天要价，维护通信建设市场有序发展。电信设施属于战略性公共基础设施，受法律保护，任何单位或者个人不得阻碍和破法进行的电信设施建设，不得危害电信设施安全，违者按照法律法规相关条例处罚。</w:t>
      </w:r>
    </w:p>
    <w:p>
      <w:pPr>
        <w:contextualSpacing/>
      </w:pPr>
      <w:r>
        <w:rPr>
          <w:rFonts w:asciiTheme="minorEastAsia" w:hAnsiTheme="minorEastAsia" w:eastAsiaTheme="minorEastAsia"/>
        </w:rPr>
        <w:t>在建设室内5G网络过程中，将面临高频组网、网络容量弹性、网络可靠性等多个方面的挑战，这就需要从组网策略、MIMO（Multiple-Input Multiple-Output，多入多出技术）技术选择、方案选择、容量规划、网络可靠性等多个方面出发，综合考虑室内5G目标网建设策略。在容量策略上，需要具有充足的弹性，灵活按需满足业务需求；在可靠性策略上，要面向各种5G业务设计相应的可靠性；在部署策略上，聚焦</w:t>
      </w:r>
      <w:r>
        <w:rPr>
          <w:rFonts w:hint="eastAsia" w:asciiTheme="minorEastAsia" w:hAnsiTheme="minorEastAsia" w:eastAsiaTheme="minorEastAsia"/>
          <w:lang w:val="en-US" w:eastAsia="zh-CN"/>
        </w:rPr>
        <w:t>室内分布</w:t>
      </w:r>
      <w:r>
        <w:rPr>
          <w:rFonts w:asciiTheme="minorEastAsia" w:hAnsiTheme="minorEastAsia" w:eastAsiaTheme="minorEastAsia"/>
        </w:rPr>
        <w:t>关键点</w:t>
      </w:r>
      <w:r>
        <w:rPr>
          <w:rFonts w:hint="eastAsia" w:asciiTheme="minorEastAsia" w:hAnsiTheme="minorEastAsia" w:eastAsiaTheme="minorEastAsia"/>
        </w:rPr>
        <w:t>，</w:t>
      </w:r>
      <w:r>
        <w:rPr>
          <w:rFonts w:asciiTheme="minorEastAsia" w:hAnsiTheme="minorEastAsia" w:eastAsiaTheme="minorEastAsia"/>
        </w:rPr>
        <w:t>制定</w:t>
      </w:r>
      <w:r>
        <w:rPr>
          <w:rFonts w:hint="eastAsia" w:asciiTheme="minorEastAsia" w:hAnsiTheme="minorEastAsia" w:eastAsiaTheme="minorEastAsia"/>
        </w:rPr>
        <w:t>“个性化、定制化、多样化”的解决方案。例如，在高业务量区域，确保统筹地位+最大化</w:t>
      </w:r>
      <w:r>
        <w:rPr>
          <w:rFonts w:hint="eastAsia" w:asciiTheme="minorEastAsia" w:hAnsiTheme="minorEastAsia" w:eastAsiaTheme="minorEastAsia"/>
          <w:lang w:val="en-US" w:eastAsia="zh-CN"/>
        </w:rPr>
        <w:t>室内分布</w:t>
      </w:r>
      <w:r>
        <w:rPr>
          <w:rFonts w:hint="eastAsia" w:asciiTheme="minorEastAsia" w:hAnsiTheme="minorEastAsia" w:eastAsiaTheme="minorEastAsia"/>
        </w:rPr>
        <w:t>配套+延展运营商界面的方式，采用有源</w:t>
      </w:r>
      <w:r>
        <w:rPr>
          <w:rFonts w:hint="eastAsia" w:asciiTheme="minorEastAsia" w:hAnsiTheme="minorEastAsia" w:eastAsiaTheme="minorEastAsia"/>
          <w:lang w:val="en-US" w:eastAsia="zh-CN"/>
        </w:rPr>
        <w:t>室内分布</w:t>
      </w:r>
      <w:r>
        <w:rPr>
          <w:rFonts w:hint="eastAsia" w:asciiTheme="minorEastAsia" w:hAnsiTheme="minorEastAsia" w:eastAsiaTheme="minorEastAsia"/>
        </w:rPr>
        <w:t>的方案。在非热点区域，在室内外衔接部分提供微站和</w:t>
      </w:r>
      <w:r>
        <w:rPr>
          <w:rFonts w:hint="eastAsia" w:asciiTheme="minorEastAsia" w:hAnsiTheme="minorEastAsia" w:eastAsiaTheme="minorEastAsia"/>
          <w:lang w:val="en-US" w:eastAsia="zh-CN"/>
        </w:rPr>
        <w:t>室内分布</w:t>
      </w:r>
      <w:r>
        <w:rPr>
          <w:rFonts w:hint="eastAsia" w:asciiTheme="minorEastAsia" w:hAnsiTheme="minorEastAsia" w:eastAsiaTheme="minorEastAsia"/>
        </w:rPr>
        <w:t xml:space="preserve">外引等综合手段，用性价比最优的方案降低整体造价。 </w:t>
      </w:r>
    </w:p>
    <w:p>
      <w:pPr>
        <w:contextualSpacing/>
      </w:pPr>
      <w:r>
        <w:rPr>
          <w:rFonts w:hint="eastAsia"/>
        </w:rPr>
        <w:t>本次</w:t>
      </w:r>
      <w:r>
        <w:t>规划期内不满足通信企业各自室内分布信号覆盖指标的场景纳入规划建设范围。各新建场景进行统一规划建设。通信企业原则上不再单独新建室内分布系统。</w:t>
      </w:r>
      <w:r>
        <w:rPr>
          <w:rFonts w:hint="eastAsia"/>
          <w:lang w:val="en-US" w:eastAsia="zh-CN"/>
        </w:rPr>
        <w:t>室内分布</w:t>
      </w:r>
      <w:r>
        <w:t>建设时，应统筹各方需求，优先改造利用存量资源，能够共享原则上不再新建</w:t>
      </w:r>
      <w:r>
        <w:rPr>
          <w:rFonts w:hint="eastAsia"/>
        </w:rPr>
        <w:t>。</w:t>
      </w:r>
    </w:p>
    <w:p>
      <w:pPr>
        <w:pStyle w:val="113"/>
        <w:jc w:val="center"/>
        <w:rPr>
          <w:rFonts w:hAnsi="宋体"/>
        </w:rPr>
      </w:pPr>
      <w:r>
        <w:rPr>
          <w:rFonts w:ascii="宋体" w:hAnsi="宋体" w:cs="宋体"/>
          <w:b/>
          <w:color w:val="000000"/>
          <w:szCs w:val="24"/>
        </w:rPr>
        <w:drawing>
          <wp:inline distT="0" distB="0" distL="0" distR="0">
            <wp:extent cx="1771650" cy="1731010"/>
            <wp:effectExtent l="57150" t="76200" r="95234" b="78637"/>
            <wp:docPr id="210" name="图片 209" descr="1357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09" descr="1357234.jpg"/>
                    <pic:cNvPicPr>
                      <a:picLocks noChangeAspect="1"/>
                    </pic:cNvPicPr>
                  </pic:nvPicPr>
                  <pic:blipFill>
                    <a:blip r:embed="rId15"/>
                    <a:stretch>
                      <a:fillRect/>
                    </a:stretch>
                  </pic:blipFill>
                  <pic:spPr>
                    <a:xfrm>
                      <a:off x="0" y="0"/>
                      <a:ext cx="1776629" cy="1735962"/>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宋体" w:hAnsi="宋体" w:cs="宋体"/>
          <w:b/>
          <w:color w:val="000000"/>
          <w:szCs w:val="24"/>
        </w:rPr>
        <w:drawing>
          <wp:inline distT="0" distB="0" distL="0" distR="0">
            <wp:extent cx="1801495" cy="1721485"/>
            <wp:effectExtent l="57150" t="76200" r="103224" b="87807"/>
            <wp:docPr id="211" name="图片 210" descr="20081261142131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0" descr="200812611421310455.jpg"/>
                    <pic:cNvPicPr>
                      <a:picLocks noChangeAspect="1"/>
                    </pic:cNvPicPr>
                  </pic:nvPicPr>
                  <pic:blipFill>
                    <a:blip r:embed="rId16"/>
                    <a:stretch>
                      <a:fillRect/>
                    </a:stretch>
                  </pic:blipFill>
                  <pic:spPr>
                    <a:xfrm>
                      <a:off x="0" y="0"/>
                      <a:ext cx="1813921" cy="173355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ind w:firstLine="482"/>
        <w:jc w:val="center"/>
        <w:rPr>
          <w:rFonts w:ascii="宋体" w:hAnsi="宋体" w:cs="宋体"/>
          <w:b/>
          <w:color w:val="000000"/>
        </w:rPr>
      </w:pPr>
      <w:r>
        <w:rPr>
          <w:rFonts w:hint="eastAsia" w:ascii="宋体" w:hAnsi="宋体" w:cs="宋体"/>
          <w:b/>
          <w:color w:val="000000"/>
        </w:rPr>
        <w:t xml:space="preserve">   室内覆盖天线照片</w:t>
      </w:r>
    </w:p>
    <w:p>
      <w:pPr>
        <w:pStyle w:val="113"/>
        <w:jc w:val="center"/>
        <w:rPr>
          <w:rFonts w:hAnsi="宋体"/>
        </w:rPr>
      </w:pPr>
      <w:r>
        <w:rPr>
          <w:rFonts w:ascii="宋体" w:hAnsi="宋体" w:cs="宋体"/>
          <w:b/>
          <w:color w:val="000000"/>
          <w:szCs w:val="24"/>
        </w:rPr>
        <w:drawing>
          <wp:inline distT="0" distB="0" distL="0" distR="0">
            <wp:extent cx="3432810" cy="2494915"/>
            <wp:effectExtent l="95250" t="76200" r="90937" b="76827"/>
            <wp:docPr id="32"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对象 2"/>
                    <pic:cNvPicPr>
                      <a:picLocks noChangeAspect="1" noChangeArrowheads="1"/>
                    </pic:cNvPicPr>
                  </pic:nvPicPr>
                  <pic:blipFill>
                    <a:blip r:embed="rId17" cstate="print"/>
                    <a:srcRect b="-269"/>
                    <a:stretch>
                      <a:fillRect/>
                    </a:stretch>
                  </pic:blipFill>
                  <pic:spPr>
                    <a:xfrm>
                      <a:off x="0" y="0"/>
                      <a:ext cx="3441730" cy="250104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ind w:firstLine="482"/>
        <w:jc w:val="center"/>
        <w:rPr>
          <w:rFonts w:ascii="宋体" w:hAnsi="宋体" w:cs="宋体"/>
          <w:b/>
          <w:color w:val="000000"/>
        </w:rPr>
      </w:pPr>
      <w:r>
        <w:rPr>
          <w:rFonts w:hint="eastAsia" w:ascii="宋体" w:hAnsi="宋体" w:cs="宋体"/>
          <w:b/>
          <w:color w:val="000000"/>
        </w:rPr>
        <w:t>小区覆盖天线照片</w:t>
      </w:r>
    </w:p>
    <w:p>
      <w:pPr>
        <w:ind w:firstLine="482"/>
        <w:jc w:val="center"/>
        <w:rPr>
          <w:rFonts w:ascii="宋体" w:hAnsi="宋体" w:cs="宋体"/>
          <w:b/>
          <w:color w:val="000000"/>
        </w:rPr>
      </w:pPr>
    </w:p>
    <w:p>
      <w:pPr>
        <w:pStyle w:val="4"/>
        <w:numPr>
          <w:ilvl w:val="2"/>
          <w:numId w:val="28"/>
        </w:numPr>
      </w:pPr>
      <w:bookmarkStart w:id="47" w:name="_Toc452964697"/>
      <w:bookmarkStart w:id="48" w:name="_Toc19642590"/>
      <w:r>
        <w:t>基站集约化建设规划</w:t>
      </w:r>
      <w:bookmarkEnd w:id="47"/>
      <w:bookmarkEnd w:id="48"/>
    </w:p>
    <w:p>
      <w:pPr>
        <w:contextualSpacing/>
      </w:pPr>
      <w:r>
        <w:t>移动通信基站的</w:t>
      </w:r>
      <w:r>
        <w:rPr>
          <w:rFonts w:hint="eastAsia"/>
        </w:rPr>
        <w:t>“</w:t>
      </w:r>
      <w:r>
        <w:t>集约化</w:t>
      </w:r>
      <w:r>
        <w:rPr>
          <w:rFonts w:hint="eastAsia"/>
        </w:rPr>
        <w:t>”</w:t>
      </w:r>
      <w:r>
        <w:t>建设，是一种充分利用现有基站设备资源，对站址等稀有资源进行最大化利用，减少重复建设，避免资源垄断的最有效的建设策略。</w:t>
      </w:r>
      <w:r>
        <w:rPr>
          <w:rFonts w:hint="eastAsia" w:ascii="宋体" w:hAnsi="宋体"/>
        </w:rPr>
        <w:t>故“集约化”的基站建设包括了基站共建和对现有资源共用两个方面的内容。</w:t>
      </w:r>
      <w:r>
        <w:t>具体就是一个地区的移动通信基站建设，在相关部门的主导下，充分利用现有(或统一新增)的基站站址、基站的公共设施，为多个移动运营公司共用，以减少基站重复建设。</w:t>
      </w:r>
    </w:p>
    <w:p>
      <w:pPr>
        <w:contextualSpacing/>
      </w:pPr>
      <w:r>
        <w:t>获取到通信企业近年的整体规划需求后，将规划新增站点与存量现网站点进行匹配，原则上尽量利用现有存量站点进行共建，对于周边没有合适的存量站点的才允许新建，并且保证新建站点有提供给其它通信企业将来共享的潜力。</w:t>
      </w:r>
    </w:p>
    <w:p>
      <w:pPr>
        <w:contextualSpacing/>
      </w:pPr>
      <w:r>
        <w:t>具体集约化建设要求如下：</w:t>
      </w:r>
    </w:p>
    <w:p>
      <w:pPr>
        <w:contextualSpacing/>
      </w:pPr>
      <w:r>
        <w:t>（1）密集城区：根据选址原则可得出，新建站点与现网站点距离200米以内，共站现网建设，超过200米重新规划新站点；普通城区：新建站点与现网站点距离350米以内，共站现网建设，超过350米的需重新规划新站点</w:t>
      </w:r>
      <w:r>
        <w:rPr>
          <w:rFonts w:hint="eastAsia"/>
        </w:rPr>
        <w:t>，同时对于后期5G建设思路，网络频段不同，覆盖要求不一样，建设范围更小，城区在100米范围。</w:t>
      </w:r>
    </w:p>
    <w:p>
      <w:pPr>
        <w:contextualSpacing/>
        <w:rPr>
          <w:color w:val="000000"/>
        </w:rPr>
      </w:pPr>
      <w:r>
        <w:t>（2）规划新站点时规避一些特殊区域，</w:t>
      </w:r>
      <w:r>
        <w:rPr>
          <w:rFonts w:hint="eastAsia"/>
        </w:rPr>
        <w:t>规划</w:t>
      </w:r>
      <w:r>
        <w:t>站点落在特殊区域的，就近在周边另寻合适站址建设。特殊区域指高压变电站、</w:t>
      </w:r>
      <w:r>
        <w:rPr>
          <w:rFonts w:hint="eastAsia"/>
        </w:rPr>
        <w:t>加油站</w:t>
      </w:r>
      <w:r>
        <w:t>等</w:t>
      </w:r>
      <w:r>
        <w:rPr>
          <w:rFonts w:hint="eastAsia"/>
        </w:rPr>
        <w:t>区域</w:t>
      </w:r>
      <w:r>
        <w:rPr>
          <w:rFonts w:hint="eastAsia"/>
          <w:color w:val="FF0000"/>
        </w:rPr>
        <w:t>。</w:t>
      </w:r>
    </w:p>
    <w:p>
      <w:pPr>
        <w:pStyle w:val="4"/>
        <w:numPr>
          <w:ilvl w:val="2"/>
          <w:numId w:val="28"/>
        </w:numPr>
      </w:pPr>
      <w:bookmarkStart w:id="49" w:name="_Toc19642591"/>
      <w:r>
        <w:t>基站建设管理实施措施</w:t>
      </w:r>
      <w:bookmarkEnd w:id="49"/>
    </w:p>
    <w:p>
      <w:pPr>
        <w:contextualSpacing/>
      </w:pPr>
      <w:bookmarkStart w:id="50" w:name="_Toc371592357"/>
      <w:r>
        <w:t>加强宣传对移动通信的认识</w:t>
      </w:r>
      <w:bookmarkEnd w:id="50"/>
      <w:r>
        <w:t>，各机关、事业单位和国有企业要充分认识移动通信是市经济发展和社会进步的重要基础设施，关系突发事件抢险救灾的应急通信保障，应从构建和谐社会的大局出发，正确认识、科学对待基站使用与电磁环境保护的关系，积极配合做好移动通信基站建设工作</w:t>
      </w:r>
      <w:r>
        <w:rPr>
          <w:rFonts w:hint="eastAsia"/>
        </w:rPr>
        <w:t>。</w:t>
      </w:r>
    </w:p>
    <w:p>
      <w:pPr>
        <w:pStyle w:val="4"/>
        <w:numPr>
          <w:ilvl w:val="2"/>
          <w:numId w:val="28"/>
        </w:numPr>
      </w:pPr>
      <w:bookmarkStart w:id="51" w:name="_Toc19642592"/>
      <w:r>
        <w:rPr>
          <w:rFonts w:hint="eastAsia"/>
        </w:rPr>
        <w:t>基</w:t>
      </w:r>
      <w:r>
        <w:t>站配套需求</w:t>
      </w:r>
      <w:bookmarkEnd w:id="51"/>
    </w:p>
    <w:p>
      <w:pPr>
        <w:contextualSpacing/>
      </w:pPr>
      <w:r>
        <w:t>局房的一般选择在城区或者房屋密集区域的工业建筑及民用建筑，应考虑其使用年限、外观质量、结构形式、平面位置等因素。</w:t>
      </w:r>
    </w:p>
    <w:p>
      <w:pPr>
        <w:contextualSpacing/>
      </w:pPr>
      <w:r>
        <w:rPr>
          <w:rFonts w:hint="eastAsia"/>
        </w:rPr>
        <w:t>5G机房建设必须整体规划，统筹各家运营商建设，对后续预计要承接其它运营商5G需求的站点，应充分考虑当期需求，可扩展性建设，预留适当空间，建议如下原则：</w:t>
      </w:r>
    </w:p>
    <w:p>
      <w:pPr>
        <w:pStyle w:val="42"/>
        <w:numPr>
          <w:ilvl w:val="0"/>
          <w:numId w:val="33"/>
        </w:numPr>
        <w:ind w:left="0" w:firstLine="420" w:firstLineChars="0"/>
        <w:rPr>
          <w:rFonts w:asciiTheme="minorEastAsia" w:hAnsiTheme="minorEastAsia"/>
        </w:rPr>
      </w:pPr>
      <w:r>
        <w:rPr>
          <w:rFonts w:hint="eastAsia" w:asciiTheme="minorEastAsia" w:hAnsiTheme="minorEastAsia"/>
        </w:rPr>
        <w:t>根据三家电信企业对接机房安装空间需求如下：</w:t>
      </w:r>
    </w:p>
    <w:p>
      <w:pPr>
        <w:pStyle w:val="42"/>
        <w:numPr>
          <w:ilvl w:val="0"/>
          <w:numId w:val="33"/>
        </w:numPr>
        <w:ind w:left="0" w:firstLine="420" w:firstLineChars="0"/>
        <w:rPr>
          <w:rFonts w:asciiTheme="minorEastAsia" w:hAnsiTheme="minorEastAsia"/>
        </w:rPr>
      </w:pPr>
      <w:r>
        <w:rPr>
          <w:rFonts w:hint="eastAsia" w:asciiTheme="minorEastAsia" w:hAnsiTheme="minorEastAsia"/>
        </w:rPr>
        <w:t>移动：5G BBU 2U+FDD1800 2U+DCDU 2U+传输设备，6U+ODF 6U+散热空间2U=20U；</w:t>
      </w:r>
    </w:p>
    <w:p>
      <w:pPr>
        <w:pStyle w:val="42"/>
        <w:numPr>
          <w:ilvl w:val="0"/>
          <w:numId w:val="33"/>
        </w:numPr>
        <w:ind w:left="0" w:firstLine="420" w:firstLineChars="0"/>
        <w:rPr>
          <w:rFonts w:asciiTheme="minorEastAsia" w:hAnsiTheme="minorEastAsia"/>
        </w:rPr>
      </w:pPr>
      <w:r>
        <w:rPr>
          <w:rFonts w:hint="eastAsia" w:asciiTheme="minorEastAsia" w:hAnsiTheme="minorEastAsia"/>
        </w:rPr>
        <w:t>联通：5G BBU 2U+DCDU 1U+传输3U+散热空间2U =8U；</w:t>
      </w:r>
    </w:p>
    <w:p>
      <w:pPr>
        <w:pStyle w:val="42"/>
        <w:numPr>
          <w:ilvl w:val="0"/>
          <w:numId w:val="33"/>
        </w:numPr>
        <w:ind w:left="0" w:firstLine="420" w:firstLineChars="0"/>
        <w:rPr>
          <w:rFonts w:asciiTheme="minorEastAsia" w:hAnsiTheme="minorEastAsia"/>
        </w:rPr>
      </w:pPr>
      <w:r>
        <w:rPr>
          <w:rFonts w:hint="eastAsia" w:asciiTheme="minorEastAsia" w:hAnsiTheme="minorEastAsia"/>
        </w:rPr>
        <w:t>电信：5G BBU 2U+ EPU02D 1U+传输4U+散热空间2U =9U；</w:t>
      </w:r>
    </w:p>
    <w:p>
      <w:pPr>
        <w:pStyle w:val="42"/>
        <w:numPr>
          <w:ilvl w:val="0"/>
          <w:numId w:val="33"/>
        </w:numPr>
        <w:ind w:left="0" w:firstLine="420" w:firstLineChars="0"/>
        <w:rPr>
          <w:rFonts w:asciiTheme="minorEastAsia" w:hAnsiTheme="minorEastAsia"/>
        </w:rPr>
      </w:pPr>
      <w:r>
        <w:rPr>
          <w:rFonts w:hint="eastAsia" w:asciiTheme="minorEastAsia" w:hAnsiTheme="minorEastAsia"/>
        </w:rPr>
        <w:t>考虑到传输设备及散热、维护空间，均预留2U的散热空间。拉远场景下不考虑BBU及传输设备空间；BBU集中池场景，机房站需单独考虑BBU数量。</w:t>
      </w:r>
    </w:p>
    <w:p>
      <w:pPr>
        <w:pStyle w:val="42"/>
        <w:numPr>
          <w:ilvl w:val="0"/>
          <w:numId w:val="33"/>
        </w:numPr>
        <w:ind w:left="0" w:firstLine="420" w:firstLineChars="0"/>
        <w:rPr>
          <w:rFonts w:asciiTheme="minorEastAsia" w:hAnsiTheme="minorEastAsia"/>
        </w:rPr>
      </w:pPr>
      <w:r>
        <w:rPr>
          <w:rFonts w:hint="eastAsia" w:asciiTheme="minorEastAsia" w:hAnsiTheme="minorEastAsia"/>
        </w:rPr>
        <w:t>新建站以室内站为主，机房面积不小于15m²；特殊场景可考虑建设铁甲机房或四舱非金属拼装机柜；</w:t>
      </w:r>
    </w:p>
    <w:p>
      <w:pPr>
        <w:pStyle w:val="42"/>
        <w:numPr>
          <w:ilvl w:val="0"/>
          <w:numId w:val="33"/>
        </w:numPr>
        <w:ind w:left="0" w:firstLine="420" w:firstLineChars="0"/>
        <w:rPr>
          <w:rFonts w:asciiTheme="minorEastAsia" w:hAnsiTheme="minorEastAsia"/>
        </w:rPr>
      </w:pPr>
      <w:r>
        <w:rPr>
          <w:rFonts w:hint="eastAsia" w:asciiTheme="minorEastAsia" w:hAnsiTheme="minorEastAsia"/>
        </w:rPr>
        <w:t>对于有租赁资源的，优先采用租赁机房，机房面积不得低于15平方米，机房净高不得低于2.6米；对于建筑物天面资源充足，优先采用简易机房，面积不得低于15平方米；对于建筑物天面资源有限的，优先采用智慧MINI机房，面积不得低于6平方米；</w:t>
      </w:r>
    </w:p>
    <w:p>
      <w:pPr>
        <w:pStyle w:val="42"/>
        <w:numPr>
          <w:ilvl w:val="0"/>
          <w:numId w:val="33"/>
        </w:numPr>
        <w:ind w:left="0" w:firstLine="420" w:firstLineChars="0"/>
        <w:rPr>
          <w:rFonts w:asciiTheme="minorEastAsia" w:hAnsiTheme="minorEastAsia"/>
        </w:rPr>
      </w:pPr>
      <w:r>
        <w:rPr>
          <w:rFonts w:hint="eastAsia" w:asciiTheme="minorEastAsia" w:hAnsiTheme="minorEastAsia"/>
        </w:rPr>
        <w:t>改造站考虑到传输设备及散热空间，每系统预留空间不低于9U（其中传输设备按4U预留），室内站站点5G设备以综合柜安装为主，挂墙安装为辅；</w:t>
      </w:r>
    </w:p>
    <w:p>
      <w:pPr>
        <w:pStyle w:val="42"/>
        <w:numPr>
          <w:ilvl w:val="0"/>
          <w:numId w:val="33"/>
        </w:numPr>
        <w:ind w:left="0" w:firstLine="420" w:firstLineChars="0"/>
        <w:rPr>
          <w:rFonts w:asciiTheme="minorEastAsia" w:hAnsiTheme="minorEastAsia"/>
        </w:rPr>
      </w:pPr>
      <w:r>
        <w:rPr>
          <w:rFonts w:hint="eastAsia" w:asciiTheme="minorEastAsia" w:hAnsiTheme="minorEastAsia"/>
        </w:rPr>
        <w:t>无安装空间且无法增加机柜的，可通过在部分原有机柜（如BTS3900）顶端安装开放式机架方式解决；</w:t>
      </w:r>
    </w:p>
    <w:p>
      <w:pPr>
        <w:pStyle w:val="42"/>
        <w:numPr>
          <w:ilvl w:val="0"/>
          <w:numId w:val="33"/>
        </w:numPr>
        <w:ind w:left="0" w:firstLine="420" w:firstLineChars="0"/>
      </w:pPr>
      <w:r>
        <w:rPr>
          <w:rFonts w:hint="eastAsia" w:asciiTheme="minorEastAsia" w:hAnsiTheme="minorEastAsia" w:eastAsiaTheme="minorEastAsia"/>
        </w:rPr>
        <w:t>采用</w:t>
      </w:r>
      <w:r>
        <w:rPr>
          <w:rFonts w:hint="eastAsia" w:asciiTheme="minorEastAsia" w:hAnsiTheme="minorEastAsia"/>
        </w:rPr>
        <w:t>室外</w:t>
      </w:r>
      <w:r>
        <w:rPr>
          <w:rFonts w:hint="eastAsia" w:asciiTheme="minorEastAsia" w:hAnsiTheme="minorEastAsia" w:eastAsiaTheme="minorEastAsia"/>
        </w:rPr>
        <w:t>一体化机柜</w:t>
      </w:r>
      <w:r>
        <w:rPr>
          <w:rFonts w:hint="eastAsia" w:asciiTheme="minorEastAsia" w:hAnsiTheme="minorEastAsia" w:eastAsiaTheme="minorEastAsia"/>
          <w:lang w:val="en-US"/>
        </w:rPr>
        <w:t>的</w:t>
      </w:r>
      <w:r>
        <w:rPr>
          <w:rFonts w:hint="eastAsia" w:asciiTheme="minorEastAsia" w:hAnsiTheme="minorEastAsia"/>
        </w:rPr>
        <w:t>站点机柜数量达到4个及以上时，建议改造成室内型站点，整合现有资源；</w:t>
      </w:r>
      <w:r>
        <w:rPr>
          <w:rFonts w:hint="eastAsia" w:asciiTheme="minorEastAsia" w:hAnsiTheme="minorEastAsia" w:eastAsiaTheme="minorEastAsia"/>
        </w:rPr>
        <w:t>考虑到5G高功耗特点及一体化机柜制冷效率，5G设备不得与嵌入开关电源、蓄电池安装于同一机柜内。</w:t>
      </w:r>
    </w:p>
    <w:p>
      <w:pPr>
        <w:contextualSpacing/>
      </w:pPr>
      <w:r>
        <w:t>基站局房建设要点：</w:t>
      </w:r>
    </w:p>
    <w:p>
      <w:pPr>
        <w:contextualSpacing/>
      </w:pPr>
      <w:r>
        <w:t>（1）房屋的抗震设防类别应达到标准设防类（丙类）。</w:t>
      </w:r>
    </w:p>
    <w:p>
      <w:pPr>
        <w:contextualSpacing/>
      </w:pPr>
      <w:r>
        <w:t>（2）应选择结构验收合格并在设计使用年限内的房屋，不应选用承重构件已严重开裂的危房改建通信局房。</w:t>
      </w:r>
    </w:p>
    <w:p>
      <w:pPr>
        <w:contextualSpacing/>
      </w:pPr>
      <w:r>
        <w:t>（3）不宜选择在既有建筑上进行加层改扩建的房屋，不应选择在框架结构、框架-剪力墙结构、剪力墙结构屋面上加建局部砖混结构的房屋。</w:t>
      </w:r>
    </w:p>
    <w:p>
      <w:pPr>
        <w:contextualSpacing/>
      </w:pPr>
      <w:r>
        <w:t>（4）应选择外观质量好的房屋，不应选择墙体及天花板有渗水水渍、抹灰层脱落严重以及结构构件有钢筋锈蚀痕迹的房屋。</w:t>
      </w:r>
    </w:p>
    <w:p>
      <w:pPr>
        <w:contextualSpacing/>
      </w:pPr>
      <w:r>
        <w:t>（5）宜优先选择框架结构、剪力墙结构、框架-剪力墙结构等抗震性能好的结构体系的房屋。</w:t>
      </w:r>
    </w:p>
    <w:p>
      <w:pPr>
        <w:contextualSpacing/>
      </w:pPr>
      <w:r>
        <w:t>（6）当选择砌体结构的房屋时，应优先选择横墙承重或纵横墙共同承重结构体系的房屋，不宜选择底部框架结构体系的房屋。</w:t>
      </w:r>
    </w:p>
    <w:p>
      <w:pPr>
        <w:contextualSpacing/>
      </w:pPr>
      <w:r>
        <w:t>（7）在选择楼层时，应优先选择在无地下室的底层。</w:t>
      </w:r>
    </w:p>
    <w:p>
      <w:pPr>
        <w:contextualSpacing/>
      </w:pPr>
      <w:r>
        <w:t>（8）在选择房间时，不宜选择局部出屋面的用房如水箱间、楼梯间等，以避免较严重的震害</w:t>
      </w:r>
      <w:r>
        <w:rPr>
          <w:rFonts w:hint="eastAsia"/>
        </w:rPr>
        <w:t>。</w:t>
      </w:r>
    </w:p>
    <w:p>
      <w:pPr>
        <w:pStyle w:val="4"/>
        <w:numPr>
          <w:ilvl w:val="2"/>
          <w:numId w:val="28"/>
        </w:numPr>
      </w:pPr>
      <w:bookmarkStart w:id="52" w:name="_Toc19642593"/>
      <w:r>
        <w:t>基站规划成果</w:t>
      </w:r>
      <w:bookmarkEnd w:id="52"/>
    </w:p>
    <w:p>
      <w:pPr>
        <w:contextualSpacing/>
      </w:pPr>
      <w:r>
        <w:t>立足</w:t>
      </w:r>
      <w:r>
        <w:rPr>
          <w:rFonts w:hint="eastAsia"/>
        </w:rPr>
        <w:t>铜梁</w:t>
      </w:r>
      <w:r>
        <w:t>现网站点资源现状，依托现已定型的基站分布态势，结合新建基站选址原则与无线专业链路预算及仿真效果，统筹规划全区基站整体布局与细节协调把控，实现规划区域无线信号全方位、无缝隙广覆盖，同时充分保障重点价值区域、潮汐效应明显区域、重要办公区域等场所的无线通信深度覆盖。</w:t>
      </w:r>
    </w:p>
    <w:p>
      <w:pPr>
        <w:contextualSpacing/>
      </w:pPr>
      <w:r>
        <w:rPr>
          <w:rFonts w:hint="eastAsia"/>
        </w:rPr>
        <w:t>铜梁</w:t>
      </w:r>
      <w:r>
        <w:rPr>
          <w:rFonts w:hint="eastAsia"/>
          <w:lang w:val="en-US" w:eastAsia="zh-CN"/>
        </w:rPr>
        <w:t>5G</w:t>
      </w:r>
      <w:r>
        <w:t>基站通信设施规划成果如下</w:t>
      </w:r>
      <w:r>
        <w:rPr>
          <w:rFonts w:hint="eastAsia"/>
        </w:rPr>
        <w:t>：</w:t>
      </w:r>
    </w:p>
    <w:p>
      <w:pPr>
        <w:numPr>
          <w:ilvl w:val="0"/>
          <w:numId w:val="34"/>
        </w:numPr>
        <w:contextualSpacing/>
      </w:pPr>
      <w:r>
        <w:rPr>
          <w:rFonts w:hint="eastAsia"/>
        </w:rPr>
        <w:t>不同建设场景下站间距划定</w:t>
      </w:r>
    </w:p>
    <w:p>
      <w:pPr>
        <w:numPr>
          <w:ilvl w:val="0"/>
          <w:numId w:val="34"/>
        </w:numPr>
        <w:contextualSpacing/>
      </w:pPr>
      <w:r>
        <w:rPr>
          <w:rFonts w:hint="eastAsia"/>
        </w:rPr>
        <w:t>铜梁城区5</w:t>
      </w:r>
      <w:r>
        <w:t>G基站</w:t>
      </w:r>
      <w:r>
        <w:rPr>
          <w:rFonts w:hint="eastAsia"/>
        </w:rPr>
        <w:t>按照平均站间距约300-</w:t>
      </w:r>
      <w:r>
        <w:t>350</w:t>
      </w:r>
      <w:r>
        <w:rPr>
          <w:rFonts w:hint="eastAsia"/>
        </w:rPr>
        <w:t>米进行规划，乡镇、</w:t>
      </w:r>
      <w:r>
        <w:t>农村及景</w:t>
      </w:r>
      <w:r>
        <w:rPr>
          <w:rFonts w:hint="eastAsia"/>
        </w:rPr>
        <w:t>区等区域按照平均站距500米~1000米进行规划。</w:t>
      </w:r>
    </w:p>
    <w:p>
      <w:pPr>
        <w:numPr>
          <w:ilvl w:val="0"/>
          <w:numId w:val="34"/>
        </w:numPr>
        <w:contextualSpacing/>
      </w:pPr>
      <w:r>
        <w:rPr>
          <w:rFonts w:hint="eastAsia"/>
        </w:rPr>
        <w:t>铜梁区</w:t>
      </w:r>
      <w:r>
        <w:t>基站规划共计</w:t>
      </w:r>
      <w:r>
        <w:rPr>
          <w:rFonts w:hint="eastAsia"/>
        </w:rPr>
        <w:t>规划5G站点</w:t>
      </w:r>
      <w:r>
        <w:rPr>
          <w:rFonts w:hint="eastAsia"/>
          <w:lang w:val="en-US" w:eastAsia="zh-CN"/>
        </w:rPr>
        <w:t>1885</w:t>
      </w:r>
      <w:r>
        <w:t>个物理基站</w:t>
      </w:r>
      <w:r>
        <w:rPr>
          <w:rFonts w:hint="eastAsia"/>
        </w:rPr>
        <w:t>（</w:t>
      </w:r>
      <w:r>
        <w:rPr>
          <w:rFonts w:hint="eastAsia"/>
          <w:lang w:val="en-US" w:eastAsia="zh-CN"/>
        </w:rPr>
        <w:t>室外站</w:t>
      </w:r>
      <w:r>
        <w:rPr>
          <w:rFonts w:hint="eastAsia"/>
          <w:lang w:eastAsia="zh-CN"/>
        </w:rPr>
        <w:t>改造</w:t>
      </w:r>
      <w:r>
        <w:rPr>
          <w:rFonts w:hint="eastAsia"/>
        </w:rPr>
        <w:t>站址</w:t>
      </w:r>
      <w:r>
        <w:rPr>
          <w:rFonts w:hint="eastAsia"/>
          <w:lang w:val="en-US" w:eastAsia="zh-CN"/>
        </w:rPr>
        <w:t>913</w:t>
      </w:r>
      <w:r>
        <w:rPr>
          <w:rFonts w:hint="eastAsia"/>
        </w:rPr>
        <w:t>个</w:t>
      </w:r>
      <w:r>
        <w:t>、</w:t>
      </w:r>
      <w:r>
        <w:rPr>
          <w:rFonts w:hint="eastAsia"/>
          <w:lang w:val="en-US" w:eastAsia="zh-CN"/>
        </w:rPr>
        <w:t>室外站</w:t>
      </w:r>
      <w:r>
        <w:rPr>
          <w:rFonts w:hint="eastAsia"/>
        </w:rPr>
        <w:t>新建</w:t>
      </w:r>
      <w:r>
        <w:rPr>
          <w:rFonts w:hint="eastAsia"/>
          <w:lang w:val="en-US" w:eastAsia="zh-CN"/>
        </w:rPr>
        <w:t>972</w:t>
      </w:r>
      <w:r>
        <w:rPr>
          <w:rFonts w:hint="eastAsia"/>
        </w:rPr>
        <w:t>个）</w:t>
      </w:r>
      <w:r>
        <w:t>，</w:t>
      </w:r>
      <w:r>
        <w:rPr>
          <w:rFonts w:hint="eastAsia"/>
        </w:rPr>
        <w:t>提档升级铜梁区县城、乡镇、高速、高铁、农村、旅游景区深度及广度覆盖效果。具体规划规模如下表所示：</w:t>
      </w:r>
    </w:p>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表6.2.9.2 铜梁5G覆盖规划所需基站数量</w:t>
      </w:r>
    </w:p>
    <w:tbl>
      <w:tblPr>
        <w:tblStyle w:val="27"/>
        <w:tblW w:w="4999" w:type="pct"/>
        <w:tblInd w:w="0" w:type="dxa"/>
        <w:tblLayout w:type="autofit"/>
        <w:tblCellMar>
          <w:top w:w="0" w:type="dxa"/>
          <w:left w:w="108" w:type="dxa"/>
          <w:bottom w:w="0" w:type="dxa"/>
          <w:right w:w="108" w:type="dxa"/>
        </w:tblCellMar>
      </w:tblPr>
      <w:tblGrid>
        <w:gridCol w:w="1740"/>
        <w:gridCol w:w="1746"/>
        <w:gridCol w:w="2222"/>
        <w:gridCol w:w="2174"/>
        <w:gridCol w:w="2586"/>
      </w:tblGrid>
      <w:tr>
        <w:tblPrEx>
          <w:tblCellMar>
            <w:top w:w="0" w:type="dxa"/>
            <w:left w:w="108" w:type="dxa"/>
            <w:bottom w:w="0" w:type="dxa"/>
            <w:right w:w="108" w:type="dxa"/>
          </w:tblCellMar>
        </w:tblPrEx>
        <w:trPr>
          <w:trHeight w:val="285" w:hRule="atLeast"/>
        </w:trPr>
        <w:tc>
          <w:tcPr>
            <w:tcW w:w="8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2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序号</w:t>
            </w:r>
          </w:p>
        </w:tc>
        <w:tc>
          <w:tcPr>
            <w:tcW w:w="8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场景</w:t>
            </w:r>
          </w:p>
        </w:tc>
        <w:tc>
          <w:tcPr>
            <w:tcW w:w="3334"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室外站</w:t>
            </w:r>
            <w:r>
              <w:rPr>
                <w:rFonts w:hint="eastAsia" w:cs="宋体" w:asciiTheme="minorEastAsia" w:hAnsiTheme="minorEastAsia" w:eastAsiaTheme="minorEastAsia"/>
                <w:kern w:val="0"/>
                <w:sz w:val="21"/>
                <w:szCs w:val="21"/>
              </w:rPr>
              <w:t>规划</w:t>
            </w:r>
          </w:p>
        </w:tc>
      </w:tr>
      <w:tr>
        <w:tblPrEx>
          <w:tblCellMar>
            <w:top w:w="0" w:type="dxa"/>
            <w:left w:w="108" w:type="dxa"/>
            <w:bottom w:w="0" w:type="dxa"/>
            <w:right w:w="108" w:type="dxa"/>
          </w:tblCellMar>
        </w:tblPrEx>
        <w:trPr>
          <w:trHeight w:val="624" w:hRule="atLeast"/>
        </w:trPr>
        <w:tc>
          <w:tcPr>
            <w:tcW w:w="8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cs="宋体" w:asciiTheme="minorEastAsia" w:hAnsiTheme="minorEastAsia" w:eastAsiaTheme="minorEastAsia"/>
                <w:kern w:val="0"/>
                <w:sz w:val="21"/>
                <w:szCs w:val="21"/>
              </w:rPr>
            </w:pPr>
          </w:p>
        </w:tc>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cs="宋体" w:asciiTheme="minorEastAsia" w:hAnsiTheme="minorEastAsia" w:eastAsiaTheme="minorEastAsia"/>
                <w:kern w:val="0"/>
                <w:sz w:val="21"/>
                <w:szCs w:val="21"/>
              </w:rPr>
            </w:pPr>
          </w:p>
        </w:tc>
        <w:tc>
          <w:tcPr>
            <w:tcW w:w="1061" w:type="pc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改造（存量</w:t>
            </w:r>
            <w:r>
              <w:rPr>
                <w:rFonts w:hint="eastAsia" w:cs="宋体" w:asciiTheme="minorEastAsia" w:hAnsiTheme="minorEastAsia" w:eastAsiaTheme="minorEastAsia"/>
                <w:kern w:val="0"/>
                <w:sz w:val="21"/>
                <w:szCs w:val="21"/>
                <w:lang w:eastAsia="zh-CN"/>
              </w:rPr>
              <w:t>改造</w:t>
            </w:r>
            <w:r>
              <w:rPr>
                <w:rFonts w:hint="eastAsia" w:cs="宋体" w:asciiTheme="minorEastAsia" w:hAnsiTheme="minorEastAsia" w:eastAsiaTheme="minorEastAsia"/>
                <w:kern w:val="0"/>
                <w:sz w:val="21"/>
                <w:szCs w:val="21"/>
              </w:rPr>
              <w:t>）</w:t>
            </w:r>
          </w:p>
        </w:tc>
        <w:tc>
          <w:tcPr>
            <w:tcW w:w="103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新建</w:t>
            </w:r>
          </w:p>
        </w:tc>
        <w:tc>
          <w:tcPr>
            <w:tcW w:w="123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利旧社会资源</w:t>
            </w:r>
          </w:p>
        </w:tc>
      </w:tr>
      <w:tr>
        <w:tblPrEx>
          <w:tblCellMar>
            <w:top w:w="0" w:type="dxa"/>
            <w:left w:w="108" w:type="dxa"/>
            <w:bottom w:w="0" w:type="dxa"/>
            <w:right w:w="108" w:type="dxa"/>
          </w:tblCellMar>
        </w:tblPrEx>
        <w:trPr>
          <w:trHeight w:val="285"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8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城区</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298</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90</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526</w:t>
            </w:r>
          </w:p>
        </w:tc>
      </w:tr>
      <w:tr>
        <w:tblPrEx>
          <w:tblCellMar>
            <w:top w:w="0" w:type="dxa"/>
            <w:left w:w="108" w:type="dxa"/>
            <w:bottom w:w="0" w:type="dxa"/>
            <w:right w:w="108" w:type="dxa"/>
          </w:tblCellMar>
        </w:tblPrEx>
        <w:trPr>
          <w:trHeight w:val="285"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8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乡镇</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63</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49</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0</w:t>
            </w:r>
          </w:p>
        </w:tc>
      </w:tr>
      <w:tr>
        <w:tblPrEx>
          <w:tblCellMar>
            <w:top w:w="0" w:type="dxa"/>
            <w:left w:w="108" w:type="dxa"/>
            <w:bottom w:w="0" w:type="dxa"/>
            <w:right w:w="108" w:type="dxa"/>
          </w:tblCellMar>
        </w:tblPrEx>
        <w:trPr>
          <w:trHeight w:val="285"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8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景区</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38</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82</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2</w:t>
            </w:r>
          </w:p>
        </w:tc>
      </w:tr>
      <w:tr>
        <w:tblPrEx>
          <w:tblCellMar>
            <w:top w:w="0" w:type="dxa"/>
            <w:left w:w="108" w:type="dxa"/>
            <w:bottom w:w="0" w:type="dxa"/>
            <w:right w:w="108" w:type="dxa"/>
          </w:tblCellMar>
        </w:tblPrEx>
        <w:trPr>
          <w:trHeight w:val="285"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8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高速</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121</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142</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0</w:t>
            </w:r>
          </w:p>
        </w:tc>
      </w:tr>
      <w:tr>
        <w:tblPrEx>
          <w:tblCellMar>
            <w:top w:w="0" w:type="dxa"/>
            <w:left w:w="108" w:type="dxa"/>
            <w:bottom w:w="0" w:type="dxa"/>
            <w:right w:w="108" w:type="dxa"/>
          </w:tblCellMar>
        </w:tblPrEx>
        <w:trPr>
          <w:trHeight w:val="285"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5</w:t>
            </w:r>
          </w:p>
        </w:tc>
        <w:tc>
          <w:tcPr>
            <w:tcW w:w="8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农村</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393</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53</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0</w:t>
            </w:r>
          </w:p>
        </w:tc>
      </w:tr>
      <w:tr>
        <w:tblPrEx>
          <w:tblCellMar>
            <w:top w:w="0" w:type="dxa"/>
            <w:left w:w="108" w:type="dxa"/>
            <w:bottom w:w="0" w:type="dxa"/>
            <w:right w:w="108" w:type="dxa"/>
          </w:tblCellMar>
        </w:tblPrEx>
        <w:trPr>
          <w:trHeight w:val="285"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6</w:t>
            </w:r>
          </w:p>
        </w:tc>
        <w:tc>
          <w:tcPr>
            <w:tcW w:w="8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铁路</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0</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28</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0</w:t>
            </w:r>
          </w:p>
        </w:tc>
      </w:tr>
      <w:tr>
        <w:tblPrEx>
          <w:tblCellMar>
            <w:top w:w="0" w:type="dxa"/>
            <w:left w:w="108" w:type="dxa"/>
            <w:bottom w:w="0" w:type="dxa"/>
            <w:right w:w="108" w:type="dxa"/>
          </w:tblCellMar>
        </w:tblPrEx>
        <w:trPr>
          <w:trHeight w:val="285" w:hRule="atLeast"/>
        </w:trPr>
        <w:tc>
          <w:tcPr>
            <w:tcW w:w="1665" w:type="pct"/>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合计</w:t>
            </w:r>
          </w:p>
        </w:tc>
        <w:tc>
          <w:tcPr>
            <w:tcW w:w="10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913</w:t>
            </w:r>
          </w:p>
        </w:tc>
        <w:tc>
          <w:tcPr>
            <w:tcW w:w="103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444</w:t>
            </w:r>
          </w:p>
        </w:tc>
        <w:tc>
          <w:tcPr>
            <w:tcW w:w="12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528</w:t>
            </w:r>
          </w:p>
        </w:tc>
      </w:tr>
    </w:tbl>
    <w:p>
      <w:pPr>
        <w:contextualSpacing/>
      </w:pPr>
    </w:p>
    <w:p>
      <w:pPr>
        <w:numPr>
          <w:ilvl w:val="0"/>
          <w:numId w:val="34"/>
        </w:numPr>
        <w:contextualSpacing/>
      </w:pPr>
      <w:r>
        <w:rPr>
          <w:rFonts w:hint="eastAsia"/>
        </w:rPr>
        <w:t>规划基站落地建设中站址偏移量</w:t>
      </w:r>
    </w:p>
    <w:p>
      <w:pPr>
        <w:contextualSpacing/>
      </w:pPr>
      <w:r>
        <w:t>借鉴通信工程中已取得一些经验，以及人们逐步提高的环保意识与对通信基站辐射的正确认知水平不相匹配，规划基站在未来的实际落地中会遭遇一些阻碍。为快速实现精品优质移动网络在全区的覆盖，针对不同建设场景进行了基站站址偏移的规划。</w:t>
      </w:r>
    </w:p>
    <w:p>
      <w:pPr>
        <w:contextualSpacing/>
      </w:pPr>
      <w:r>
        <w:t>新建站址在实际建设中可根据地形地貌、建筑物分布、道路走向等具体因素进行适当调整。</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城区及镇区内允许在规划站址周围100米内调整；</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乡镇、农村、景区及高速道路允许在规划站址周围200米内调整；</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机场、</w:t>
      </w:r>
      <w:r>
        <w:rPr>
          <w:rFonts w:hint="eastAsia" w:asciiTheme="minorEastAsia" w:hAnsiTheme="minorEastAsia" w:eastAsiaTheme="minorEastAsia"/>
          <w:lang w:val="en-US"/>
        </w:rPr>
        <w:t>车站</w:t>
      </w:r>
      <w:r>
        <w:rPr>
          <w:rFonts w:hint="eastAsia" w:asciiTheme="minorEastAsia" w:hAnsiTheme="minorEastAsia" w:eastAsiaTheme="minorEastAsia"/>
        </w:rPr>
        <w:t>允许在规划站址周围50米内调整；</w:t>
      </w:r>
    </w:p>
    <w:p>
      <w:pPr>
        <w:pStyle w:val="42"/>
        <w:numPr>
          <w:ilvl w:val="0"/>
          <w:numId w:val="33"/>
        </w:numPr>
        <w:ind w:left="0" w:firstLine="420" w:firstLineChars="0"/>
        <w:rPr>
          <w:rFonts w:asciiTheme="minorEastAsia" w:hAnsiTheme="minorEastAsia" w:eastAsiaTheme="minorEastAsia"/>
          <w:lang w:val="en-US"/>
        </w:rPr>
      </w:pPr>
      <w:r>
        <w:rPr>
          <w:rFonts w:hint="eastAsia" w:asciiTheme="minorEastAsia" w:hAnsiTheme="minorEastAsia" w:eastAsiaTheme="minorEastAsia"/>
          <w:lang w:val="en-US"/>
        </w:rPr>
        <w:t>高速、高铁</w:t>
      </w:r>
      <w:r>
        <w:rPr>
          <w:rFonts w:hint="eastAsia" w:asciiTheme="minorEastAsia" w:hAnsiTheme="minorEastAsia" w:eastAsiaTheme="minorEastAsia"/>
        </w:rPr>
        <w:t>场景允许在规划站址周围</w:t>
      </w:r>
      <w:r>
        <w:rPr>
          <w:rFonts w:hint="eastAsia" w:asciiTheme="minorEastAsia" w:hAnsiTheme="minorEastAsia" w:eastAsiaTheme="minorEastAsia"/>
          <w:lang w:val="en-US"/>
        </w:rPr>
        <w:t>100</w:t>
      </w:r>
      <w:r>
        <w:rPr>
          <w:rFonts w:hint="eastAsia" w:asciiTheme="minorEastAsia" w:hAnsiTheme="minorEastAsia" w:eastAsiaTheme="minorEastAsia"/>
        </w:rPr>
        <w:t>米内调整。</w:t>
      </w:r>
    </w:p>
    <w:p>
      <w:pPr>
        <w:pStyle w:val="4"/>
        <w:numPr>
          <w:ilvl w:val="2"/>
          <w:numId w:val="28"/>
        </w:numPr>
      </w:pPr>
      <w:bookmarkStart w:id="53" w:name="_Toc19642594"/>
      <w:r>
        <w:rPr>
          <w:rFonts w:hint="eastAsia"/>
          <w:lang w:val="en-US" w:eastAsia="zh-CN"/>
        </w:rPr>
        <w:t>室内分布</w:t>
      </w:r>
      <w:r>
        <w:rPr>
          <w:rFonts w:hint="eastAsia"/>
        </w:rPr>
        <w:t>规划成果</w:t>
      </w:r>
      <w:bookmarkEnd w:id="53"/>
    </w:p>
    <w:p>
      <w:pPr>
        <w:ind w:firstLine="240" w:firstLineChars="100"/>
      </w:pPr>
      <w:r>
        <w:t>（1）</w:t>
      </w:r>
      <w:r>
        <w:rPr>
          <w:rFonts w:hint="eastAsia"/>
        </w:rPr>
        <w:t>综合室内分布系统</w:t>
      </w:r>
    </w:p>
    <w:p>
      <w:r>
        <w:rPr>
          <w:rFonts w:hint="eastAsia"/>
        </w:rPr>
        <w:t>中高层及以上建筑内室内分布系统：由于无线电磁波较难穿透钢筋混凝土，容易在地下室、停车场、电梯轿厢、公共走廊等处形成信号盲区；同时，中高层及以上建筑是手机用户比较集中的地方，数据业务的需求量也较大，高端用户较多，各运营商分别建设室内分布系统存在多次麻烦业主、建设空间受限制、重复投资、浪费物业资源等问题；另外，在高层建筑内，各运营商面临的电磁环境、建筑环境、覆盖需求基本相同，也不会受室外环境变化的影响。综上所述，集约建设室内分布系统，是多方面综合要求的结果，且室内分布系统的功率</w:t>
      </w:r>
      <w:r>
        <w:rPr>
          <w:rFonts w:hint="eastAsia"/>
          <w:lang w:val="en-US" w:eastAsia="zh-CN"/>
        </w:rPr>
        <w:t>十分</w:t>
      </w:r>
      <w:r>
        <w:rPr>
          <w:rFonts w:hint="eastAsia"/>
        </w:rPr>
        <w:t>小，其辐射值远小于国家标准。</w:t>
      </w:r>
    </w:p>
    <w:p>
      <w:pPr>
        <w:ind w:firstLine="240" w:firstLineChars="100"/>
      </w:pPr>
      <w:r>
        <w:t>（2）</w:t>
      </w:r>
      <w:r>
        <w:rPr>
          <w:rFonts w:hint="eastAsia"/>
        </w:rPr>
        <w:t>小区综合覆盖系统</w:t>
      </w:r>
    </w:p>
    <w:p>
      <w:r>
        <w:rPr>
          <w:rFonts w:hint="eastAsia"/>
        </w:rPr>
        <w:t>对于住住宅小区尤其是新建的住宅小区，移动通信用户的需求是可以预估的，因此在新建住宅小区的同时，可依据住宅小区的区域面积、居住人数及小区居民的消费水平等综合因素来预测估算出该住宅小区内的通信需求量，从而制定出合理的通信网络覆盖方案，在住宅小区规划建设的同时一并完成移动通信网络的建设。这样，运营商既能消除通信基站建设再造成环境的破坏，也能消除施工扰民等问题。</w:t>
      </w:r>
    </w:p>
    <w:p>
      <w:r>
        <w:rPr>
          <w:rFonts w:hint="eastAsia"/>
        </w:rPr>
        <w:t>综上所述，为满足用户在室内时的通信要求，解决室内、小区内的深度覆盖问题，针对面积较大地块，另规划建设室内分布及小区覆盖灯杆站，以达到以下建设目的：</w:t>
      </w:r>
    </w:p>
    <w:p>
      <w:r>
        <w:rPr>
          <w:rFonts w:hint="eastAsia"/>
        </w:rPr>
        <w:t>a)</w:t>
      </w:r>
      <w:r>
        <w:rPr>
          <w:rFonts w:hint="eastAsia"/>
        </w:rPr>
        <w:tab/>
      </w:r>
      <w:r>
        <w:rPr>
          <w:rFonts w:hint="eastAsia"/>
        </w:rPr>
        <w:t>达到有效覆盖，多层覆盖；</w:t>
      </w:r>
    </w:p>
    <w:p>
      <w:r>
        <w:rPr>
          <w:rFonts w:hint="eastAsia"/>
        </w:rPr>
        <w:t>b)</w:t>
      </w:r>
      <w:r>
        <w:rPr>
          <w:rFonts w:hint="eastAsia"/>
        </w:rPr>
        <w:tab/>
      </w:r>
      <w:r>
        <w:rPr>
          <w:rFonts w:hint="eastAsia"/>
        </w:rPr>
        <w:t>提高吸收室内及小区话务能力；</w:t>
      </w:r>
    </w:p>
    <w:p>
      <w:r>
        <w:rPr>
          <w:rFonts w:hint="eastAsia"/>
        </w:rPr>
        <w:t>c)</w:t>
      </w:r>
      <w:r>
        <w:rPr>
          <w:rFonts w:hint="eastAsia"/>
        </w:rPr>
        <w:tab/>
      </w:r>
      <w:r>
        <w:rPr>
          <w:rFonts w:hint="eastAsia"/>
        </w:rPr>
        <w:t>提高室内及小区通话质量，信号稳定程度达到电信级服务水平；</w:t>
      </w:r>
    </w:p>
    <w:p>
      <w:r>
        <w:rPr>
          <w:rFonts w:hint="eastAsia"/>
        </w:rPr>
        <w:t>d)</w:t>
      </w:r>
      <w:r>
        <w:rPr>
          <w:rFonts w:hint="eastAsia"/>
        </w:rPr>
        <w:tab/>
      </w:r>
      <w:r>
        <w:rPr>
          <w:rFonts w:hint="eastAsia"/>
        </w:rPr>
        <w:t>室内及小区网络能够快速响应客户需求。</w:t>
      </w:r>
    </w:p>
    <w:p>
      <w:pPr>
        <w:pStyle w:val="42"/>
        <w:numPr>
          <w:ilvl w:val="0"/>
          <w:numId w:val="35"/>
        </w:numPr>
        <w:ind w:firstLineChars="0"/>
      </w:pPr>
      <w:r>
        <w:rPr>
          <w:rFonts w:hint="eastAsia"/>
          <w:lang w:val="en-US" w:eastAsia="zh-CN"/>
        </w:rPr>
        <w:t>铜梁</w:t>
      </w:r>
      <w:r>
        <w:rPr>
          <w:rFonts w:hint="eastAsia"/>
        </w:rPr>
        <w:t>5G</w:t>
      </w:r>
      <w:r>
        <w:rPr>
          <w:rFonts w:hint="eastAsia"/>
          <w:lang w:val="en-US" w:eastAsia="zh-CN"/>
        </w:rPr>
        <w:t>室内分布</w:t>
      </w:r>
      <w:r>
        <w:t>规划成果如下</w:t>
      </w:r>
      <w:r>
        <w:rPr>
          <w:rFonts w:hint="eastAsia"/>
        </w:rPr>
        <w:t>：</w:t>
      </w:r>
    </w:p>
    <w:p>
      <w:pPr>
        <w:pStyle w:val="42"/>
        <w:ind w:firstLine="480"/>
      </w:pPr>
      <w:r>
        <w:rPr>
          <w:rFonts w:hint="eastAsia"/>
        </w:rPr>
        <w:t>规划期内建设规模为190个，其中建设方式无源分布系统为10个，光纤分布系统180个，覆盖总面积</w:t>
      </w:r>
      <w:r>
        <w:t>1710.31</w:t>
      </w:r>
      <w:r>
        <w:rPr>
          <w:rFonts w:hint="eastAsia"/>
        </w:rPr>
        <w:t>万平方米。</w:t>
      </w:r>
    </w:p>
    <w:tbl>
      <w:tblPr>
        <w:tblStyle w:val="27"/>
        <w:tblW w:w="10470" w:type="dxa"/>
        <w:tblInd w:w="0" w:type="dxa"/>
        <w:tblLayout w:type="fixed"/>
        <w:tblCellMar>
          <w:top w:w="0" w:type="dxa"/>
          <w:left w:w="108" w:type="dxa"/>
          <w:bottom w:w="0" w:type="dxa"/>
          <w:right w:w="108" w:type="dxa"/>
        </w:tblCellMar>
      </w:tblPr>
      <w:tblGrid>
        <w:gridCol w:w="813"/>
        <w:gridCol w:w="1357"/>
        <w:gridCol w:w="1357"/>
        <w:gridCol w:w="812"/>
        <w:gridCol w:w="1901"/>
        <w:gridCol w:w="1901"/>
        <w:gridCol w:w="2329"/>
      </w:tblGrid>
      <w:tr>
        <w:tblPrEx>
          <w:tblCellMar>
            <w:top w:w="0" w:type="dxa"/>
            <w:left w:w="108" w:type="dxa"/>
            <w:bottom w:w="0" w:type="dxa"/>
            <w:right w:w="108" w:type="dxa"/>
          </w:tblCellMar>
        </w:tblPrEx>
        <w:trPr>
          <w:trHeight w:val="285" w:hRule="atLeast"/>
          <w:tblHeader/>
        </w:trPr>
        <w:tc>
          <w:tcPr>
            <w:tcW w:w="8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场景</w:t>
            </w:r>
          </w:p>
        </w:tc>
        <w:tc>
          <w:tcPr>
            <w:tcW w:w="13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类别</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合计</w:t>
            </w:r>
          </w:p>
        </w:tc>
        <w:tc>
          <w:tcPr>
            <w:tcW w:w="38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建设方式</w:t>
            </w:r>
          </w:p>
        </w:tc>
        <w:tc>
          <w:tcPr>
            <w:tcW w:w="23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覆盖面积(万平米)</w:t>
            </w:r>
          </w:p>
        </w:tc>
      </w:tr>
      <w:tr>
        <w:tblPrEx>
          <w:tblCellMar>
            <w:top w:w="0" w:type="dxa"/>
            <w:left w:w="108" w:type="dxa"/>
            <w:bottom w:w="0" w:type="dxa"/>
            <w:right w:w="108" w:type="dxa"/>
          </w:tblCellMar>
        </w:tblPrEx>
        <w:trPr>
          <w:trHeight w:val="285" w:hRule="atLeast"/>
          <w:tblHead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光纤分布系统</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无源分布系统</w:t>
            </w:r>
          </w:p>
        </w:tc>
        <w:tc>
          <w:tcPr>
            <w:tcW w:w="23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285" w:hRule="atLeast"/>
        </w:trPr>
        <w:tc>
          <w:tcPr>
            <w:tcW w:w="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大型场馆</w:t>
            </w:r>
          </w:p>
        </w:tc>
        <w:tc>
          <w:tcPr>
            <w:tcW w:w="135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楼宇</w:t>
            </w:r>
            <w:r>
              <w:rPr>
                <w:rFonts w:hint="eastAsia" w:ascii="等线" w:hAnsi="等线" w:eastAsia="等线" w:cs="宋体"/>
                <w:color w:val="000000"/>
                <w:kern w:val="0"/>
                <w:sz w:val="22"/>
                <w:szCs w:val="22"/>
                <w:lang w:val="en-US" w:eastAsia="zh-CN"/>
              </w:rPr>
              <w:t>室内分布</w:t>
            </w: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w:t>
            </w:r>
          </w:p>
        </w:tc>
      </w:tr>
      <w:tr>
        <w:tblPrEx>
          <w:tblCellMar>
            <w:top w:w="0" w:type="dxa"/>
            <w:left w:w="108" w:type="dxa"/>
            <w:bottom w:w="0" w:type="dxa"/>
            <w:right w:w="108" w:type="dxa"/>
          </w:tblCellMar>
        </w:tblPrEx>
        <w:trPr>
          <w:trHeight w:val="285" w:hRule="atLeast"/>
        </w:trPr>
        <w:tc>
          <w:tcPr>
            <w:tcW w:w="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党政机关</w:t>
            </w:r>
          </w:p>
        </w:tc>
        <w:tc>
          <w:tcPr>
            <w:tcW w:w="135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14.71</w:t>
            </w:r>
          </w:p>
        </w:tc>
      </w:tr>
      <w:tr>
        <w:tblPrEx>
          <w:tblCellMar>
            <w:top w:w="0" w:type="dxa"/>
            <w:left w:w="108" w:type="dxa"/>
            <w:bottom w:w="0" w:type="dxa"/>
            <w:right w:w="108" w:type="dxa"/>
          </w:tblCellMar>
        </w:tblPrEx>
        <w:trPr>
          <w:trHeight w:val="285" w:hRule="atLeast"/>
        </w:trPr>
        <w:tc>
          <w:tcPr>
            <w:tcW w:w="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交通枢纽</w:t>
            </w:r>
          </w:p>
        </w:tc>
        <w:tc>
          <w:tcPr>
            <w:tcW w:w="135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8.9</w:t>
            </w:r>
          </w:p>
        </w:tc>
      </w:tr>
      <w:tr>
        <w:tblPrEx>
          <w:tblCellMar>
            <w:top w:w="0" w:type="dxa"/>
            <w:left w:w="108" w:type="dxa"/>
            <w:bottom w:w="0" w:type="dxa"/>
            <w:right w:w="108" w:type="dxa"/>
          </w:tblCellMar>
        </w:tblPrEx>
        <w:trPr>
          <w:trHeight w:val="285" w:hRule="atLeast"/>
        </w:trPr>
        <w:tc>
          <w:tcPr>
            <w:tcW w:w="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楼宇其它</w:t>
            </w:r>
          </w:p>
        </w:tc>
        <w:tc>
          <w:tcPr>
            <w:tcW w:w="135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157</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1597.82 </w:t>
            </w:r>
          </w:p>
        </w:tc>
      </w:tr>
      <w:tr>
        <w:tblPrEx>
          <w:tblCellMar>
            <w:top w:w="0" w:type="dxa"/>
            <w:left w:w="108" w:type="dxa"/>
            <w:bottom w:w="0" w:type="dxa"/>
            <w:right w:w="108" w:type="dxa"/>
          </w:tblCellMar>
        </w:tblPrEx>
        <w:trPr>
          <w:trHeight w:val="285" w:hRule="atLeast"/>
        </w:trPr>
        <w:tc>
          <w:tcPr>
            <w:tcW w:w="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商务楼宇</w:t>
            </w:r>
          </w:p>
        </w:tc>
        <w:tc>
          <w:tcPr>
            <w:tcW w:w="135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5.92</w:t>
            </w:r>
          </w:p>
        </w:tc>
      </w:tr>
      <w:tr>
        <w:tblPrEx>
          <w:tblCellMar>
            <w:top w:w="0" w:type="dxa"/>
            <w:left w:w="108" w:type="dxa"/>
            <w:bottom w:w="0" w:type="dxa"/>
            <w:right w:w="108" w:type="dxa"/>
          </w:tblCellMar>
        </w:tblPrEx>
        <w:trPr>
          <w:trHeight w:val="285" w:hRule="atLeast"/>
        </w:trPr>
        <w:tc>
          <w:tcPr>
            <w:tcW w:w="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校园</w:t>
            </w:r>
          </w:p>
        </w:tc>
        <w:tc>
          <w:tcPr>
            <w:tcW w:w="135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等线" w:hAnsi="等线" w:eastAsia="等线" w:cs="宋体"/>
                <w:color w:val="000000"/>
                <w:kern w:val="0"/>
                <w:sz w:val="22"/>
                <w:szCs w:val="22"/>
              </w:rPr>
            </w:pP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81.56</w:t>
            </w:r>
          </w:p>
        </w:tc>
      </w:tr>
      <w:tr>
        <w:tblPrEx>
          <w:tblCellMar>
            <w:top w:w="0" w:type="dxa"/>
            <w:left w:w="108" w:type="dxa"/>
            <w:bottom w:w="0" w:type="dxa"/>
            <w:right w:w="108" w:type="dxa"/>
          </w:tblCellMar>
        </w:tblPrEx>
        <w:trPr>
          <w:trHeight w:val="285" w:hRule="atLeast"/>
        </w:trPr>
        <w:tc>
          <w:tcPr>
            <w:tcW w:w="2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总计</w:t>
            </w:r>
          </w:p>
        </w:tc>
        <w:tc>
          <w:tcPr>
            <w:tcW w:w="135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190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23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1710.31 </w:t>
            </w:r>
          </w:p>
        </w:tc>
      </w:tr>
    </w:tbl>
    <w:p>
      <w:pPr>
        <w:pStyle w:val="3"/>
        <w:numPr>
          <w:ilvl w:val="1"/>
          <w:numId w:val="28"/>
        </w:numPr>
        <w:contextualSpacing/>
      </w:pPr>
      <w:bookmarkStart w:id="54" w:name="_Toc19642595"/>
      <w:r>
        <w:rPr>
          <w:rFonts w:hint="eastAsia"/>
        </w:rPr>
        <w:t>通信</w:t>
      </w:r>
      <w:r>
        <w:t>局房规划</w:t>
      </w:r>
      <w:bookmarkEnd w:id="54"/>
    </w:p>
    <w:p>
      <w:pPr>
        <w:pStyle w:val="4"/>
        <w:numPr>
          <w:ilvl w:val="2"/>
          <w:numId w:val="28"/>
        </w:numPr>
        <w:tabs>
          <w:tab w:val="clear" w:pos="360"/>
        </w:tabs>
      </w:pPr>
      <w:bookmarkStart w:id="55" w:name="_Toc19642596"/>
      <w:r>
        <w:rPr>
          <w:rFonts w:hint="eastAsia"/>
        </w:rPr>
        <w:t>通信局房规划方法</w:t>
      </w:r>
      <w:bookmarkEnd w:id="55"/>
    </w:p>
    <w:p>
      <w:pPr>
        <w:pStyle w:val="5"/>
        <w:numPr>
          <w:ilvl w:val="3"/>
          <w:numId w:val="28"/>
        </w:numPr>
        <w:tabs>
          <w:tab w:val="clear" w:pos="360"/>
        </w:tabs>
        <w:contextualSpacing/>
      </w:pPr>
      <w:r>
        <w:t>核心局</w:t>
      </w:r>
      <w:r>
        <w:rPr>
          <w:rFonts w:hint="eastAsia"/>
        </w:rPr>
        <w:t>房</w:t>
      </w:r>
      <w:r>
        <w:t>通信局房规划</w:t>
      </w:r>
      <w:r>
        <w:rPr>
          <w:rFonts w:hint="eastAsia"/>
        </w:rPr>
        <w:t>方法</w:t>
      </w:r>
    </w:p>
    <w:p>
      <w:pPr>
        <w:contextualSpacing/>
      </w:pPr>
      <w:r>
        <w:t>通信机楼主要负责汇集区域内业务数据及上连至省干设备，因此通信机楼为干线设备所在局房，同时也是各类业务网本地核心设备局房。</w:t>
      </w:r>
    </w:p>
    <w:p>
      <w:pPr>
        <w:contextualSpacing/>
      </w:pPr>
      <w:r>
        <w:t>为了贯彻国家落实建设资源节约型、环境友好型社会的要求，节约土地、能源和原材料的消耗，减少电信设施重复建设，提高电信基础设施利用率，结合现状分析和通信需求预测结论。建议新建综合通信机楼在不影响生产的情况下采用共建共享方式建设使用。</w:t>
      </w:r>
    </w:p>
    <w:p>
      <w:pPr>
        <w:contextualSpacing/>
      </w:pPr>
      <w:r>
        <w:t>综合通信机楼按不低于3家运营企业考虑，同址局房内需要按列或按片划分开，形成各家独立的装机区域。预留一定比例面积作为维护局房及营业厅等，有需求时可预留部分面积作为辅助局房。</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提供标准供电，保持环境清洁，交通运输便利；</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避免通风管、水管、消防管等无关管线进入局房；</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提供空调、风扇等制冷设备，满足24小时供冷需求；</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配套系统包括但不少于供电系统、防雷系统、制冷系统、照明系统、消防系统、安防系统、综合布线系统等；</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局房面积分配、内部工艺、电源、建筑承重等设计严格遵守通信企业及行业相关规范标准执行，确保综合通信机楼的高效适配、安全可靠；</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局房单位面积/单机柜平均功率严格按照通信企业相关标准及《电子信息系统局房设计规范》GB 50174-2008等国家标准进行设计。</w:t>
      </w:r>
    </w:p>
    <w:p>
      <w:pPr>
        <w:ind w:firstLine="420"/>
        <w:contextualSpacing/>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表6.1.1-1 综合通信局楼设计参数对照表</w:t>
      </w:r>
    </w:p>
    <w:tbl>
      <w:tblPr>
        <w:tblStyle w:val="27"/>
        <w:tblW w:w="9548" w:type="dxa"/>
        <w:jc w:val="center"/>
        <w:tblLayout w:type="fixed"/>
        <w:tblCellMar>
          <w:top w:w="0" w:type="dxa"/>
          <w:left w:w="108" w:type="dxa"/>
          <w:bottom w:w="0" w:type="dxa"/>
          <w:right w:w="108" w:type="dxa"/>
        </w:tblCellMar>
      </w:tblPr>
      <w:tblGrid>
        <w:gridCol w:w="4676"/>
        <w:gridCol w:w="4872"/>
      </w:tblGrid>
      <w:tr>
        <w:tblPrEx>
          <w:tblCellMar>
            <w:top w:w="0" w:type="dxa"/>
            <w:left w:w="108" w:type="dxa"/>
            <w:bottom w:w="0" w:type="dxa"/>
            <w:right w:w="108" w:type="dxa"/>
          </w:tblCellMar>
        </w:tblPrEx>
        <w:trPr>
          <w:trHeight w:val="283" w:hRule="atLeast"/>
          <w:tblHeader/>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机楼用房</w:t>
            </w:r>
          </w:p>
        </w:tc>
        <w:tc>
          <w:tcPr>
            <w:tcW w:w="4872" w:type="dxa"/>
            <w:tcBorders>
              <w:top w:val="single" w:color="auto" w:sz="4" w:space="0"/>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设计参数</w:t>
            </w:r>
          </w:p>
        </w:tc>
      </w:tr>
      <w:tr>
        <w:tblPrEx>
          <w:tblCellMar>
            <w:top w:w="0" w:type="dxa"/>
            <w:left w:w="108" w:type="dxa"/>
            <w:bottom w:w="0" w:type="dxa"/>
            <w:right w:w="108" w:type="dxa"/>
          </w:tblCellMar>
        </w:tblPrEx>
        <w:trPr>
          <w:trHeight w:val="285" w:hRule="atLeast"/>
          <w:jc w:val="center"/>
        </w:trPr>
        <w:tc>
          <w:tcPr>
            <w:tcW w:w="4676" w:type="dxa"/>
            <w:vMerge w:val="restart"/>
            <w:tcBorders>
              <w:top w:val="nil"/>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各功能空间活荷载</w:t>
            </w: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电池电力室:16kN/㎡</w:t>
            </w:r>
          </w:p>
        </w:tc>
      </w:tr>
      <w:tr>
        <w:tblPrEx>
          <w:tblCellMar>
            <w:top w:w="0" w:type="dxa"/>
            <w:left w:w="108" w:type="dxa"/>
            <w:bottom w:w="0" w:type="dxa"/>
            <w:right w:w="108" w:type="dxa"/>
          </w:tblCellMar>
        </w:tblPrEx>
        <w:trPr>
          <w:trHeight w:val="285" w:hRule="atLeast"/>
          <w:jc w:val="center"/>
        </w:trPr>
        <w:tc>
          <w:tcPr>
            <w:tcW w:w="4676" w:type="dxa"/>
            <w:vMerge w:val="continue"/>
            <w:tcBorders>
              <w:top w:val="nil"/>
              <w:left w:val="single" w:color="auto" w:sz="4" w:space="0"/>
              <w:bottom w:val="single" w:color="auto" w:sz="4" w:space="0"/>
              <w:right w:val="single" w:color="auto" w:sz="4" w:space="0"/>
            </w:tcBorders>
            <w:vAlign w:val="center"/>
          </w:tcPr>
          <w:p>
            <w:pPr>
              <w:ind w:firstLine="420"/>
              <w:contextualSpacing/>
              <w:jc w:val="center"/>
              <w:rPr>
                <w:rFonts w:asciiTheme="minorEastAsia" w:hAnsiTheme="minorEastAsia" w:eastAsiaTheme="minorEastAsia" w:cstheme="minorEastAsia"/>
                <w:sz w:val="21"/>
                <w:szCs w:val="21"/>
              </w:rPr>
            </w:pP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通信局房:  10kN/㎡</w:t>
            </w:r>
          </w:p>
        </w:tc>
      </w:tr>
      <w:tr>
        <w:tblPrEx>
          <w:tblCellMar>
            <w:top w:w="0" w:type="dxa"/>
            <w:left w:w="108" w:type="dxa"/>
            <w:bottom w:w="0" w:type="dxa"/>
            <w:right w:w="108" w:type="dxa"/>
          </w:tblCellMar>
        </w:tblPrEx>
        <w:trPr>
          <w:trHeight w:val="285" w:hRule="atLeast"/>
          <w:jc w:val="center"/>
        </w:trPr>
        <w:tc>
          <w:tcPr>
            <w:tcW w:w="4676" w:type="dxa"/>
            <w:vMerge w:val="continue"/>
            <w:tcBorders>
              <w:top w:val="nil"/>
              <w:left w:val="single" w:color="auto" w:sz="4" w:space="0"/>
              <w:bottom w:val="single" w:color="auto" w:sz="4" w:space="0"/>
              <w:right w:val="single" w:color="auto" w:sz="4" w:space="0"/>
            </w:tcBorders>
            <w:vAlign w:val="center"/>
          </w:tcPr>
          <w:p>
            <w:pPr>
              <w:ind w:firstLine="420"/>
              <w:contextualSpacing/>
              <w:jc w:val="center"/>
              <w:rPr>
                <w:rFonts w:asciiTheme="minorEastAsia" w:hAnsiTheme="minorEastAsia" w:eastAsiaTheme="minorEastAsia" w:cstheme="minorEastAsia"/>
                <w:sz w:val="21"/>
                <w:szCs w:val="21"/>
              </w:rPr>
            </w:pP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楼梯走廊: 3.5kN/㎡</w:t>
            </w:r>
          </w:p>
        </w:tc>
      </w:tr>
      <w:tr>
        <w:tblPrEx>
          <w:tblCellMar>
            <w:top w:w="0" w:type="dxa"/>
            <w:left w:w="108" w:type="dxa"/>
            <w:bottom w:w="0" w:type="dxa"/>
            <w:right w:w="108" w:type="dxa"/>
          </w:tblCellMar>
        </w:tblPrEx>
        <w:trPr>
          <w:trHeight w:val="285" w:hRule="atLeast"/>
          <w:jc w:val="center"/>
        </w:trPr>
        <w:tc>
          <w:tcPr>
            <w:tcW w:w="4676" w:type="dxa"/>
            <w:vMerge w:val="continue"/>
            <w:tcBorders>
              <w:top w:val="nil"/>
              <w:left w:val="single" w:color="auto" w:sz="4" w:space="0"/>
              <w:bottom w:val="single" w:color="auto" w:sz="4" w:space="0"/>
              <w:right w:val="single" w:color="auto" w:sz="4" w:space="0"/>
            </w:tcBorders>
            <w:vAlign w:val="center"/>
          </w:tcPr>
          <w:p>
            <w:pPr>
              <w:ind w:firstLine="420"/>
              <w:contextualSpacing/>
              <w:jc w:val="center"/>
              <w:rPr>
                <w:rFonts w:asciiTheme="minorEastAsia" w:hAnsiTheme="minorEastAsia" w:eastAsiaTheme="minorEastAsia" w:cstheme="minorEastAsia"/>
                <w:sz w:val="21"/>
                <w:szCs w:val="21"/>
              </w:rPr>
            </w:pP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管理用房: 2.5kN/㎡</w:t>
            </w:r>
          </w:p>
        </w:tc>
      </w:tr>
      <w:tr>
        <w:tblPrEx>
          <w:tblCellMar>
            <w:top w:w="0" w:type="dxa"/>
            <w:left w:w="108" w:type="dxa"/>
            <w:bottom w:w="0" w:type="dxa"/>
            <w:right w:w="108" w:type="dxa"/>
          </w:tblCellMar>
        </w:tblPrEx>
        <w:trPr>
          <w:trHeight w:val="285" w:hRule="atLeast"/>
          <w:jc w:val="center"/>
        </w:trPr>
        <w:tc>
          <w:tcPr>
            <w:tcW w:w="4676" w:type="dxa"/>
            <w:tcBorders>
              <w:top w:val="nil"/>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机架尺寸(宽×深×高）</w:t>
            </w: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600*1000*2200或600*1200*2200</w:t>
            </w:r>
          </w:p>
        </w:tc>
      </w:tr>
      <w:tr>
        <w:tblPrEx>
          <w:tblCellMar>
            <w:top w:w="0" w:type="dxa"/>
            <w:left w:w="108" w:type="dxa"/>
            <w:bottom w:w="0" w:type="dxa"/>
            <w:right w:w="108" w:type="dxa"/>
          </w:tblCellMar>
        </w:tblPrEx>
        <w:trPr>
          <w:trHeight w:val="285" w:hRule="atLeast"/>
          <w:jc w:val="center"/>
        </w:trPr>
        <w:tc>
          <w:tcPr>
            <w:tcW w:w="4676" w:type="dxa"/>
            <w:vMerge w:val="restart"/>
            <w:tcBorders>
              <w:top w:val="nil"/>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三类局房（传输或交换局房）功耗指标及平均运行功率</w:t>
            </w: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0.6kW/㎡</w:t>
            </w:r>
          </w:p>
        </w:tc>
      </w:tr>
      <w:tr>
        <w:tblPrEx>
          <w:tblCellMar>
            <w:top w:w="0" w:type="dxa"/>
            <w:left w:w="108" w:type="dxa"/>
            <w:bottom w:w="0" w:type="dxa"/>
            <w:right w:w="108" w:type="dxa"/>
          </w:tblCellMar>
        </w:tblPrEx>
        <w:trPr>
          <w:trHeight w:val="285" w:hRule="atLeast"/>
          <w:jc w:val="center"/>
        </w:trPr>
        <w:tc>
          <w:tcPr>
            <w:tcW w:w="4676" w:type="dxa"/>
            <w:vMerge w:val="continue"/>
            <w:tcBorders>
              <w:top w:val="nil"/>
              <w:left w:val="single" w:color="auto" w:sz="4" w:space="0"/>
              <w:bottom w:val="single" w:color="auto" w:sz="4" w:space="0"/>
              <w:right w:val="single" w:color="auto" w:sz="4" w:space="0"/>
            </w:tcBorders>
            <w:vAlign w:val="center"/>
          </w:tcPr>
          <w:p>
            <w:pPr>
              <w:ind w:firstLine="420"/>
              <w:contextualSpacing/>
              <w:jc w:val="center"/>
              <w:rPr>
                <w:rFonts w:asciiTheme="minorEastAsia" w:hAnsiTheme="minorEastAsia" w:eastAsiaTheme="minorEastAsia" w:cstheme="minorEastAsia"/>
                <w:sz w:val="21"/>
                <w:szCs w:val="21"/>
              </w:rPr>
            </w:pP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（2kW/机架）</w:t>
            </w:r>
          </w:p>
        </w:tc>
      </w:tr>
      <w:tr>
        <w:tblPrEx>
          <w:tblCellMar>
            <w:top w:w="0" w:type="dxa"/>
            <w:left w:w="108" w:type="dxa"/>
            <w:bottom w:w="0" w:type="dxa"/>
            <w:right w:w="108" w:type="dxa"/>
          </w:tblCellMar>
        </w:tblPrEx>
        <w:trPr>
          <w:trHeight w:val="285" w:hRule="atLeast"/>
          <w:jc w:val="center"/>
        </w:trPr>
        <w:tc>
          <w:tcPr>
            <w:tcW w:w="4676" w:type="dxa"/>
            <w:vMerge w:val="restart"/>
            <w:tcBorders>
              <w:top w:val="nil"/>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二类局房（交换或数据局房）功耗指标及平均运行功率</w:t>
            </w: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1.0kW/㎡</w:t>
            </w:r>
          </w:p>
        </w:tc>
      </w:tr>
      <w:tr>
        <w:tblPrEx>
          <w:tblCellMar>
            <w:top w:w="0" w:type="dxa"/>
            <w:left w:w="108" w:type="dxa"/>
            <w:bottom w:w="0" w:type="dxa"/>
            <w:right w:w="108" w:type="dxa"/>
          </w:tblCellMar>
        </w:tblPrEx>
        <w:trPr>
          <w:trHeight w:val="270" w:hRule="atLeast"/>
          <w:jc w:val="center"/>
        </w:trPr>
        <w:tc>
          <w:tcPr>
            <w:tcW w:w="4676" w:type="dxa"/>
            <w:vMerge w:val="continue"/>
            <w:tcBorders>
              <w:top w:val="nil"/>
              <w:left w:val="single" w:color="auto" w:sz="4" w:space="0"/>
              <w:bottom w:val="single" w:color="auto" w:sz="4" w:space="0"/>
              <w:right w:val="single" w:color="auto" w:sz="4" w:space="0"/>
            </w:tcBorders>
            <w:vAlign w:val="center"/>
          </w:tcPr>
          <w:p>
            <w:pPr>
              <w:ind w:firstLine="420"/>
              <w:contextualSpacing/>
              <w:jc w:val="center"/>
              <w:rPr>
                <w:rFonts w:asciiTheme="minorEastAsia" w:hAnsiTheme="minorEastAsia" w:eastAsiaTheme="minorEastAsia" w:cstheme="minorEastAsia"/>
                <w:sz w:val="21"/>
                <w:szCs w:val="21"/>
              </w:rPr>
            </w:pP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（3kW/机架）</w:t>
            </w:r>
          </w:p>
        </w:tc>
      </w:tr>
      <w:tr>
        <w:tblPrEx>
          <w:tblCellMar>
            <w:top w:w="0" w:type="dxa"/>
            <w:left w:w="108" w:type="dxa"/>
            <w:bottom w:w="0" w:type="dxa"/>
            <w:right w:w="108" w:type="dxa"/>
          </w:tblCellMar>
        </w:tblPrEx>
        <w:trPr>
          <w:trHeight w:val="270" w:hRule="atLeast"/>
          <w:jc w:val="center"/>
        </w:trPr>
        <w:tc>
          <w:tcPr>
            <w:tcW w:w="4676" w:type="dxa"/>
            <w:vMerge w:val="restart"/>
            <w:tcBorders>
              <w:top w:val="nil"/>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一类局房（数据局房）功耗指标及平均运行功率</w:t>
            </w: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1.4kW/㎡</w:t>
            </w:r>
          </w:p>
        </w:tc>
      </w:tr>
      <w:tr>
        <w:tblPrEx>
          <w:tblCellMar>
            <w:top w:w="0" w:type="dxa"/>
            <w:left w:w="108" w:type="dxa"/>
            <w:bottom w:w="0" w:type="dxa"/>
            <w:right w:w="108" w:type="dxa"/>
          </w:tblCellMar>
        </w:tblPrEx>
        <w:trPr>
          <w:trHeight w:val="285" w:hRule="atLeast"/>
          <w:jc w:val="center"/>
        </w:trPr>
        <w:tc>
          <w:tcPr>
            <w:tcW w:w="4676" w:type="dxa"/>
            <w:vMerge w:val="continue"/>
            <w:tcBorders>
              <w:top w:val="nil"/>
              <w:left w:val="single" w:color="auto" w:sz="4" w:space="0"/>
              <w:bottom w:val="single" w:color="auto" w:sz="4" w:space="0"/>
              <w:right w:val="single" w:color="auto" w:sz="4" w:space="0"/>
            </w:tcBorders>
            <w:vAlign w:val="center"/>
          </w:tcPr>
          <w:p>
            <w:pPr>
              <w:ind w:firstLine="420"/>
              <w:contextualSpacing/>
              <w:jc w:val="center"/>
              <w:rPr>
                <w:rFonts w:asciiTheme="minorEastAsia" w:hAnsiTheme="minorEastAsia" w:eastAsiaTheme="minorEastAsia" w:cstheme="minorEastAsia"/>
                <w:sz w:val="21"/>
                <w:szCs w:val="21"/>
              </w:rPr>
            </w:pP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（4kW/机架）</w:t>
            </w:r>
          </w:p>
        </w:tc>
      </w:tr>
      <w:tr>
        <w:tblPrEx>
          <w:tblCellMar>
            <w:top w:w="0" w:type="dxa"/>
            <w:left w:w="108" w:type="dxa"/>
            <w:bottom w:w="0" w:type="dxa"/>
            <w:right w:w="108" w:type="dxa"/>
          </w:tblCellMar>
        </w:tblPrEx>
        <w:trPr>
          <w:trHeight w:val="285" w:hRule="atLeast"/>
          <w:jc w:val="center"/>
        </w:trPr>
        <w:tc>
          <w:tcPr>
            <w:tcW w:w="4676" w:type="dxa"/>
            <w:tcBorders>
              <w:top w:val="nil"/>
              <w:left w:val="single" w:color="auto" w:sz="4" w:space="0"/>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局房比例（三类：二类：一类）</w:t>
            </w:r>
          </w:p>
        </w:tc>
        <w:tc>
          <w:tcPr>
            <w:tcW w:w="4872" w:type="dxa"/>
            <w:tcBorders>
              <w:top w:val="nil"/>
              <w:left w:val="nil"/>
              <w:bottom w:val="single" w:color="auto" w:sz="4" w:space="0"/>
              <w:right w:val="single" w:color="auto" w:sz="4" w:space="0"/>
            </w:tcBorders>
            <w:shd w:val="clear" w:color="auto" w:fill="auto"/>
            <w:vAlign w:val="center"/>
          </w:tcPr>
          <w:p>
            <w:pPr>
              <w:ind w:firstLine="420"/>
              <w:contextualSpacing/>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w:t>
            </w:r>
          </w:p>
        </w:tc>
      </w:tr>
    </w:tbl>
    <w:p>
      <w:pPr>
        <w:pStyle w:val="5"/>
        <w:numPr>
          <w:ilvl w:val="3"/>
          <w:numId w:val="28"/>
        </w:numPr>
        <w:contextualSpacing/>
      </w:pPr>
      <w:r>
        <w:t>核心汇聚局房规划</w:t>
      </w:r>
      <w:r>
        <w:rPr>
          <w:rFonts w:hint="eastAsia"/>
        </w:rPr>
        <w:t>方法</w:t>
      </w:r>
    </w:p>
    <w:p>
      <w:pPr>
        <w:contextualSpacing/>
      </w:pPr>
      <w:r>
        <w:t>核心汇聚局房面积需求测算应综合考虑所在汇聚区业务量、接入主干组网模式、设备组网模式对局房装机面积的影响，适当考虑空间预留，以满足长期发展需求。</w:t>
      </w:r>
    </w:p>
    <w:p>
      <w:pPr>
        <w:numPr>
          <w:ilvl w:val="0"/>
          <w:numId w:val="36"/>
        </w:numPr>
        <w:contextualSpacing/>
      </w:pPr>
      <w:r>
        <w:rPr>
          <w:rFonts w:hint="eastAsia"/>
        </w:rPr>
        <w:t>核心汇聚局房应充分利用现有局房，并与其他生产用房、营业用房等统筹考虑。</w:t>
      </w:r>
    </w:p>
    <w:p>
      <w:pPr>
        <w:numPr>
          <w:ilvl w:val="0"/>
          <w:numId w:val="36"/>
        </w:numPr>
        <w:contextualSpacing/>
      </w:pPr>
      <w:r>
        <w:rPr>
          <w:rFonts w:hint="eastAsia"/>
        </w:rPr>
        <w:t>核心汇聚局房应兼做所在综合接入区的综合接入点，其局房使用面积应统筹考虑。</w:t>
      </w:r>
    </w:p>
    <w:p>
      <w:pPr>
        <w:numPr>
          <w:ilvl w:val="0"/>
          <w:numId w:val="36"/>
        </w:numPr>
        <w:contextualSpacing/>
      </w:pPr>
      <w:r>
        <w:rPr>
          <w:rFonts w:hint="eastAsia"/>
        </w:rPr>
        <w:t>新增核心汇聚局房使用面积建议不小于120平米，应以自有产权为主；选址可参考以下原则：</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局房位置应利于业务汇聚，并充分考虑地理位置、道路分布、管道光缆等资源状况，避免出现孤岛或单路由等传输安全问题；</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选择局房楼层应考虑防洪要求，局房选用二层及以上楼层时，局房充分考虑建筑层高及承重、光缆通道、维护通道、消防通道等因素；</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局房平面尽可能具有通用性，宜以矩形为主；考虑安全性、稳定性；</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具备外电引入条件及移动油机发电条件，并有各方面安全保证等；</w:t>
      </w:r>
    </w:p>
    <w:p>
      <w:pPr>
        <w:pStyle w:val="5"/>
        <w:numPr>
          <w:ilvl w:val="3"/>
          <w:numId w:val="28"/>
        </w:numPr>
        <w:contextualSpacing/>
      </w:pPr>
      <w:r>
        <w:t>综合业务接入点局房规划</w:t>
      </w:r>
      <w:r>
        <w:rPr>
          <w:rFonts w:hint="eastAsia"/>
        </w:rPr>
        <w:t>方法</w:t>
      </w:r>
    </w:p>
    <w:p>
      <w:pPr>
        <w:numPr>
          <w:ilvl w:val="0"/>
          <w:numId w:val="37"/>
        </w:numPr>
        <w:contextualSpacing/>
      </w:pPr>
      <w:r>
        <w:rPr>
          <w:rFonts w:hint="eastAsia"/>
        </w:rPr>
        <w:t>综合业务接入区内需设置综合业务接入点局房数量，与区内业务量、局房面积条件、接入主干光缆建设模式等关系密切。</w:t>
      </w:r>
    </w:p>
    <w:p>
      <w:pPr>
        <w:numPr>
          <w:ilvl w:val="0"/>
          <w:numId w:val="37"/>
        </w:numPr>
        <w:contextualSpacing/>
      </w:pPr>
      <w:r>
        <w:rPr>
          <w:rFonts w:hint="eastAsia"/>
        </w:rPr>
        <w:t>综合业务接入点局房面积需求测算，应综合考虑所在综合业务接入区业务量、接入主干组网模式、设备组网模式对局房面积的要求，适当考虑空间预留，以满足长期发展需求。</w:t>
      </w:r>
    </w:p>
    <w:p>
      <w:pPr>
        <w:pStyle w:val="5"/>
        <w:numPr>
          <w:ilvl w:val="3"/>
          <w:numId w:val="28"/>
        </w:numPr>
        <w:contextualSpacing/>
      </w:pPr>
      <w:r>
        <w:t>新建住宅群通信基础信息接入点规划</w:t>
      </w:r>
      <w:r>
        <w:rPr>
          <w:rFonts w:hint="eastAsia"/>
        </w:rPr>
        <w:t>方法</w:t>
      </w:r>
    </w:p>
    <w:p>
      <w:pPr>
        <w:contextualSpacing/>
      </w:pPr>
      <w:r>
        <w:t>为了贯彻落实工业和信息化部、住房和城乡建设部等七部委联合下发《关于推进光纤宽带网络建设的意见》（工信部联通[2010]105号）、《重庆市人民政府办公厅推进我市光纤宽带网络及第三代移动通信网络建设实施意见》(渝办发[2010]206号)精神，适应重庆市住宅产业现代化的需要，配合城市建设与信息通信网络向数字化、综合化、智能化方向发展，搞好城市住宅建筑群中电话、数据、图像等多媒体综合网络建设。住宅建筑群的电信用户驻地网建设必须纳入建筑群的统一规划当中，与建筑群同步建设。</w:t>
      </w:r>
    </w:p>
    <w:p>
      <w:pPr>
        <w:contextualSpacing/>
      </w:pPr>
      <w:r>
        <w:t>住宅建筑群应该满足《重庆市住宅建筑群电信用户驻地网建设规范(修订版)》要求</w:t>
      </w:r>
      <w:r>
        <w:rPr>
          <w:rFonts w:hint="eastAsia"/>
        </w:rPr>
        <w:t>。</w:t>
      </w:r>
    </w:p>
    <w:p>
      <w:pPr>
        <w:pStyle w:val="4"/>
        <w:numPr>
          <w:ilvl w:val="2"/>
          <w:numId w:val="28"/>
        </w:numPr>
      </w:pPr>
      <w:bookmarkStart w:id="56" w:name="_Toc19642597"/>
      <w:r>
        <w:t>通信局局房建设原则</w:t>
      </w:r>
      <w:bookmarkEnd w:id="56"/>
    </w:p>
    <w:p>
      <w:pPr>
        <w:pStyle w:val="5"/>
        <w:numPr>
          <w:ilvl w:val="3"/>
          <w:numId w:val="28"/>
        </w:numPr>
        <w:contextualSpacing/>
      </w:pPr>
      <w:r>
        <w:t>通信局所规划选址与设置标准</w:t>
      </w:r>
    </w:p>
    <w:p>
      <w:r>
        <w:rPr>
          <w:rFonts w:hint="eastAsia"/>
        </w:rPr>
        <w:t>通信居所应根据城市通信网络发展目标，考虑多业务的统一承载要求进行布局，结合地理位置，在业务需求多、发展快的密集市区、市区等通信需求较高的区域重点区域选取，并尽量位于其覆盖范围的中心区域，便于各类业务的接入。</w:t>
      </w:r>
    </w:p>
    <w:p>
      <w:r>
        <w:rPr>
          <w:rFonts w:hint="eastAsia"/>
        </w:rPr>
        <w:t>重点机房可采用“建、购、租相结合”的原则进行建设，对于新开发区域，则应根据市政规划用地性质，提前预留汇聚机房用地，或者在新建商业楼宇或市政设施中预留机房位置。</w:t>
      </w:r>
    </w:p>
    <w:p>
      <w:r>
        <w:rPr>
          <w:rFonts w:hint="eastAsia"/>
        </w:rPr>
        <w:t>核心局房：各类业务网本地核心设备局房；汇聚局房：本地网内各类业务汇聚设备所在局房；建议使用面积一般不小于60平方米。综合业务接入局房：综合业务区内小范围业务收敛设备所在局房；末端接入局房：各种业务的末端接入节点局房；建议使用面积一般不小于30平方米。</w:t>
      </w:r>
    </w:p>
    <w:p>
      <w:pPr>
        <w:pStyle w:val="5"/>
        <w:numPr>
          <w:ilvl w:val="3"/>
          <w:numId w:val="28"/>
        </w:numPr>
        <w:contextualSpacing/>
      </w:pPr>
      <w:r>
        <w:t>通信局所选址总体原则</w:t>
      </w:r>
    </w:p>
    <w:p>
      <w:pPr>
        <w:contextualSpacing/>
      </w:pPr>
      <w:r>
        <w:t>规划以骨干路由和系统要求为基础，结合业务的发展，综合考虑骨干网和城域网需求，合理选择地理位置建设局房。通信局所选址原则如下：</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通信局所宜选择在交通较为方便的城市干道交汇区域，利于管道、电力的接入，以便于传输网络的组织。</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通信局所应设置在地势较高、不易被水淹没、不易渗水的地方；机房周边应有较安全的外部环境和较好的电磁环境。</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通信局所选址前要考虑外电引入条件是否能满足机房的需求，优先选择供电局供电。</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通信局所应满足相应的承重要求，对于不满足承重要求的局房，要对其后期建设提出加固要求。</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选址时应考虑邻近的高压变电站、高压输电线铁塔、交流电气化铁道、广播电视、雷达、无线电发射台等干扰源的影响。应满足通信安全保密、国防、人防、消防等要求。</w:t>
      </w:r>
    </w:p>
    <w:p>
      <w:pPr>
        <w:pStyle w:val="42"/>
        <w:numPr>
          <w:ilvl w:val="0"/>
          <w:numId w:val="33"/>
        </w:numPr>
        <w:ind w:left="0" w:firstLine="420" w:firstLineChars="0"/>
        <w:rPr>
          <w:rFonts w:asciiTheme="minorEastAsia" w:hAnsiTheme="minorEastAsia" w:eastAsiaTheme="minorEastAsia"/>
        </w:rPr>
      </w:pPr>
      <w:r>
        <w:rPr>
          <w:rFonts w:hint="eastAsia" w:asciiTheme="minorEastAsia" w:hAnsiTheme="minorEastAsia" w:eastAsiaTheme="minorEastAsia"/>
        </w:rPr>
        <w:t>通信局所一方面考虑近期承载BBU集中部署等需求，另一方面应提前考虑5G承载及DC部署需求</w:t>
      </w:r>
    </w:p>
    <w:p>
      <w:pPr>
        <w:pStyle w:val="4"/>
        <w:numPr>
          <w:ilvl w:val="2"/>
          <w:numId w:val="28"/>
        </w:numPr>
      </w:pPr>
      <w:bookmarkStart w:id="57" w:name="_Toc19642598"/>
      <w:r>
        <w:rPr>
          <w:rFonts w:hint="eastAsia"/>
        </w:rPr>
        <w:t>局房</w:t>
      </w:r>
      <w:r>
        <w:t>规划成果</w:t>
      </w:r>
      <w:bookmarkEnd w:id="57"/>
    </w:p>
    <w:p>
      <w:pPr>
        <w:ind w:firstLineChars="0"/>
        <w:contextualSpacing/>
      </w:pPr>
      <w:r>
        <w:rPr>
          <w:rFonts w:hint="eastAsia"/>
        </w:rPr>
        <w:t>铜梁区</w:t>
      </w:r>
      <w:r>
        <w:rPr>
          <w:rFonts w:hint="eastAsia"/>
          <w:lang w:val="en-US" w:eastAsia="zh-CN"/>
        </w:rPr>
        <w:t>5G</w:t>
      </w:r>
      <w:r>
        <w:rPr>
          <w:rFonts w:hint="eastAsia"/>
        </w:rPr>
        <w:t>机房规划共计76站点物理站址（砖混机房20个、</w:t>
      </w:r>
      <w:r>
        <w:rPr>
          <w:rFonts w:hint="eastAsia"/>
          <w:lang w:val="en-US" w:eastAsia="zh-CN"/>
        </w:rPr>
        <w:t>快装</w:t>
      </w:r>
      <w:r>
        <w:rPr>
          <w:rFonts w:hint="eastAsia"/>
        </w:rPr>
        <w:t>机房56个），提升综合接入解决能力。</w:t>
      </w:r>
      <w:r>
        <w:t>详见附表</w:t>
      </w:r>
      <w:r>
        <w:rPr>
          <w:rFonts w:hint="eastAsia"/>
        </w:rPr>
        <w:t>。</w:t>
      </w:r>
    </w:p>
    <w:p>
      <w:pPr>
        <w:pStyle w:val="2"/>
        <w:contextualSpacing/>
      </w:pPr>
      <w:bookmarkStart w:id="58" w:name="_Toc19642599"/>
      <w:bookmarkStart w:id="59" w:name="_Toc1928589"/>
      <w:bookmarkStart w:id="60" w:name="_Toc463885831"/>
      <w:r>
        <w:rPr>
          <w:rFonts w:hint="eastAsia"/>
        </w:rPr>
        <w:tab/>
      </w:r>
      <w:r>
        <w:rPr>
          <w:rFonts w:hint="eastAsia"/>
        </w:rPr>
        <w:t>规划投资</w:t>
      </w:r>
      <w:bookmarkEnd w:id="58"/>
      <w:bookmarkEnd w:id="59"/>
    </w:p>
    <w:p>
      <w:pPr>
        <w:pStyle w:val="3"/>
        <w:numPr>
          <w:ilvl w:val="1"/>
          <w:numId w:val="38"/>
        </w:numPr>
        <w:tabs>
          <w:tab w:val="clear" w:pos="480"/>
        </w:tabs>
      </w:pPr>
      <w:bookmarkStart w:id="61" w:name="_Toc19642600"/>
      <w:r>
        <w:rPr>
          <w:rFonts w:hint="eastAsia"/>
        </w:rPr>
        <w:t>估算计费依据</w:t>
      </w:r>
      <w:bookmarkEnd w:id="61"/>
    </w:p>
    <w:p>
      <w:pPr>
        <w:pStyle w:val="25"/>
        <w:spacing w:before="0" w:beforeAutospacing="0" w:after="0" w:afterAutospacing="0" w:line="360" w:lineRule="auto"/>
        <w:ind w:firstLine="480" w:firstLineChars="200"/>
        <w:rPr>
          <w:rFonts w:ascii="Times New Roman" w:hAnsi="Times New Roman" w:cs="Times New Roman"/>
          <w:kern w:val="2"/>
        </w:rPr>
      </w:pPr>
      <w:r>
        <w:rPr>
          <w:rFonts w:hint="eastAsia" w:ascii="Times New Roman" w:hAnsi="Times New Roman" w:cs="Times New Roman"/>
          <w:kern w:val="2"/>
        </w:rPr>
        <w:t>参照重庆铁塔2018年“三滚规划”预算整体造价进行计列相关费用，对本次“</w:t>
      </w:r>
      <w:r>
        <w:rPr>
          <w:rFonts w:hint="eastAsia" w:ascii="Times New Roman" w:hAnsi="Times New Roman" w:cs="Times New Roman"/>
          <w:kern w:val="2"/>
          <w:lang w:val="en-US" w:eastAsia="zh-CN"/>
        </w:rPr>
        <w:t>专项</w:t>
      </w:r>
      <w:r>
        <w:rPr>
          <w:rFonts w:hint="eastAsia" w:ascii="Times New Roman" w:hAnsi="Times New Roman" w:cs="Times New Roman"/>
          <w:kern w:val="2"/>
        </w:rPr>
        <w:t>规划”进行规划投资估算，详见下表。</w:t>
      </w:r>
    </w:p>
    <w:tbl>
      <w:tblPr>
        <w:tblStyle w:val="27"/>
        <w:tblpPr w:leftFromText="180" w:rightFromText="180" w:vertAnchor="text" w:horzAnchor="page" w:tblpX="1230" w:tblpY="42"/>
        <w:tblOverlap w:val="never"/>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734"/>
        <w:gridCol w:w="633"/>
        <w:gridCol w:w="510"/>
        <w:gridCol w:w="510"/>
        <w:gridCol w:w="538"/>
        <w:gridCol w:w="598"/>
        <w:gridCol w:w="442"/>
        <w:gridCol w:w="442"/>
        <w:gridCol w:w="432"/>
        <w:gridCol w:w="432"/>
        <w:gridCol w:w="432"/>
        <w:gridCol w:w="692"/>
        <w:gridCol w:w="692"/>
        <w:gridCol w:w="692"/>
        <w:gridCol w:w="692"/>
        <w:gridCol w:w="575"/>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657" w:type="dxa"/>
            <w:vMerge w:val="restart"/>
            <w:shd w:val="clear" w:color="auto" w:fill="auto"/>
            <w:tcMar>
              <w:top w:w="15" w:type="dxa"/>
              <w:left w:w="15" w:type="dxa"/>
              <w:right w:w="15" w:type="dxa"/>
            </w:tcMar>
            <w:vAlign w:val="center"/>
          </w:tcPr>
          <w:p>
            <w:pPr>
              <w:pStyle w:val="25"/>
              <w:spacing w:before="0" w:beforeAutospacing="0" w:after="0" w:afterAutospacing="0"/>
              <w:jc w:val="center"/>
              <w:rPr>
                <w:rFonts w:asciiTheme="minorEastAsia" w:hAnsiTheme="minorEastAsia" w:eastAsiaTheme="minorEastAsia"/>
                <w:sz w:val="21"/>
                <w:szCs w:val="21"/>
              </w:rPr>
            </w:pPr>
            <w:r>
              <w:rPr>
                <w:rFonts w:cs="Arial" w:asciiTheme="minorEastAsia" w:hAnsiTheme="minorEastAsia" w:eastAsiaTheme="minorEastAsia"/>
                <w:color w:val="000000"/>
                <w:kern w:val="24"/>
                <w:sz w:val="21"/>
                <w:szCs w:val="21"/>
              </w:rPr>
              <w:t>存量</w:t>
            </w:r>
            <w:r>
              <w:rPr>
                <w:rFonts w:hint="eastAsia" w:cs="Arial" w:asciiTheme="minorEastAsia" w:hAnsiTheme="minorEastAsia" w:eastAsiaTheme="minorEastAsia"/>
                <w:color w:val="000000"/>
                <w:kern w:val="24"/>
                <w:sz w:val="21"/>
                <w:szCs w:val="21"/>
                <w:lang w:eastAsia="zh-CN"/>
              </w:rPr>
              <w:t>改造</w:t>
            </w:r>
            <w:r>
              <w:rPr>
                <w:rFonts w:cs="Arial" w:asciiTheme="minorEastAsia" w:hAnsiTheme="minorEastAsia" w:eastAsiaTheme="minorEastAsia"/>
                <w:color w:val="000000"/>
                <w:kern w:val="24"/>
                <w:sz w:val="21"/>
                <w:szCs w:val="21"/>
              </w:rPr>
              <w:t>（万元）</w:t>
            </w:r>
          </w:p>
        </w:tc>
        <w:tc>
          <w:tcPr>
            <w:tcW w:w="1877" w:type="dxa"/>
            <w:gridSpan w:val="3"/>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lang w:val="en-US" w:eastAsia="zh-CN"/>
              </w:rPr>
              <w:t>室外站</w:t>
            </w:r>
            <w:r>
              <w:rPr>
                <w:rFonts w:cs="Arial Unicode MS"/>
                <w:sz w:val="21"/>
                <w:szCs w:val="21"/>
              </w:rPr>
              <w:t>-新建站址投资（万元）</w:t>
            </w:r>
          </w:p>
        </w:tc>
        <w:tc>
          <w:tcPr>
            <w:tcW w:w="1646" w:type="dxa"/>
            <w:gridSpan w:val="3"/>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cs="Arial Unicode MS"/>
                <w:sz w:val="21"/>
                <w:szCs w:val="21"/>
              </w:rPr>
              <w:t>微站-新建站址投资（万元）</w:t>
            </w:r>
          </w:p>
        </w:tc>
        <w:tc>
          <w:tcPr>
            <w:tcW w:w="1316" w:type="dxa"/>
            <w:gridSpan w:val="3"/>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rPr>
              <w:t>传输规划部分（万元）</w:t>
            </w:r>
          </w:p>
          <w:p>
            <w:pPr>
              <w:pStyle w:val="25"/>
              <w:spacing w:before="0" w:beforeAutospacing="0" w:after="0" w:afterAutospacing="0"/>
              <w:jc w:val="center"/>
              <w:textAlignment w:val="center"/>
              <w:rPr>
                <w:rFonts w:cs="Arial Unicode MS"/>
                <w:sz w:val="21"/>
                <w:szCs w:val="21"/>
              </w:rPr>
            </w:pPr>
          </w:p>
        </w:tc>
        <w:tc>
          <w:tcPr>
            <w:tcW w:w="864" w:type="dxa"/>
            <w:gridSpan w:val="2"/>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rPr>
              <w:t>无线专业部分（万元）</w:t>
            </w:r>
          </w:p>
          <w:p>
            <w:pPr>
              <w:pStyle w:val="25"/>
              <w:spacing w:before="0" w:beforeAutospacing="0" w:after="0" w:afterAutospacing="0"/>
              <w:jc w:val="center"/>
              <w:textAlignment w:val="center"/>
              <w:rPr>
                <w:rFonts w:cs="Arial Unicode MS"/>
                <w:sz w:val="21"/>
                <w:szCs w:val="21"/>
              </w:rPr>
            </w:pPr>
          </w:p>
        </w:tc>
        <w:tc>
          <w:tcPr>
            <w:tcW w:w="2768" w:type="dxa"/>
            <w:gridSpan w:val="4"/>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rPr>
              <w:t>综合机房（万元）</w:t>
            </w:r>
          </w:p>
          <w:p>
            <w:pPr>
              <w:pStyle w:val="25"/>
              <w:spacing w:before="0" w:beforeAutospacing="0" w:after="0" w:afterAutospacing="0"/>
              <w:jc w:val="center"/>
              <w:textAlignment w:val="center"/>
              <w:rPr>
                <w:rFonts w:cs="Arial Unicode MS"/>
                <w:sz w:val="21"/>
                <w:szCs w:val="21"/>
              </w:rPr>
            </w:pPr>
          </w:p>
        </w:tc>
        <w:tc>
          <w:tcPr>
            <w:tcW w:w="1146" w:type="dxa"/>
            <w:gridSpan w:val="2"/>
          </w:tcPr>
          <w:p>
            <w:pPr>
              <w:pStyle w:val="25"/>
              <w:spacing w:before="0" w:beforeAutospacing="0" w:after="0" w:afterAutospacing="0"/>
              <w:jc w:val="center"/>
              <w:textAlignment w:val="center"/>
              <w:rPr>
                <w:rFonts w:cs="Arial Unicode MS"/>
                <w:sz w:val="21"/>
                <w:szCs w:val="21"/>
              </w:rPr>
            </w:pPr>
          </w:p>
          <w:p>
            <w:pPr>
              <w:pStyle w:val="25"/>
              <w:spacing w:before="0" w:beforeAutospacing="0" w:after="0" w:afterAutospacing="0"/>
              <w:jc w:val="center"/>
              <w:textAlignment w:val="center"/>
              <w:rPr>
                <w:rFonts w:cs="Arial Unicode MS"/>
                <w:sz w:val="21"/>
                <w:szCs w:val="21"/>
              </w:rPr>
            </w:pPr>
            <w:r>
              <w:rPr>
                <w:rFonts w:hint="eastAsia" w:cs="Arial Unicode MS"/>
                <w:sz w:val="21"/>
                <w:szCs w:val="21"/>
                <w:lang w:val="en-US" w:eastAsia="zh-CN"/>
              </w:rPr>
              <w:t>室内分布站</w:t>
            </w:r>
            <w:r>
              <w:rPr>
                <w:rFonts w:cs="Arial Unicode MS"/>
                <w:sz w:val="21"/>
                <w:szCs w:val="21"/>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657" w:type="dxa"/>
            <w:vMerge w:val="continue"/>
            <w:shd w:val="clear" w:color="auto" w:fill="auto"/>
            <w:tcMar>
              <w:top w:w="15" w:type="dxa"/>
              <w:left w:w="15" w:type="dxa"/>
              <w:right w:w="15" w:type="dxa"/>
            </w:tcMar>
            <w:vAlign w:val="center"/>
          </w:tcPr>
          <w:p>
            <w:pPr>
              <w:ind w:firstLine="420"/>
              <w:jc w:val="center"/>
              <w:rPr>
                <w:rFonts w:cs="Arial" w:asciiTheme="minorEastAsia" w:hAnsiTheme="minorEastAsia" w:eastAsiaTheme="minorEastAsia"/>
                <w:sz w:val="21"/>
                <w:szCs w:val="21"/>
              </w:rPr>
            </w:pPr>
          </w:p>
        </w:tc>
        <w:tc>
          <w:tcPr>
            <w:tcW w:w="734"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20米以上地面塔</w:t>
            </w:r>
          </w:p>
        </w:tc>
        <w:tc>
          <w:tcPr>
            <w:tcW w:w="633"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20米以下简易塔</w:t>
            </w:r>
          </w:p>
        </w:tc>
        <w:tc>
          <w:tcPr>
            <w:tcW w:w="510"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cs="Arial Unicode MS"/>
                <w:sz w:val="21"/>
                <w:szCs w:val="21"/>
              </w:rPr>
              <w:t>楼面塔</w:t>
            </w:r>
          </w:p>
        </w:tc>
        <w:tc>
          <w:tcPr>
            <w:tcW w:w="510"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cs="Arial Unicode MS"/>
                <w:sz w:val="21"/>
                <w:szCs w:val="21"/>
              </w:rPr>
              <w:t>楼面站</w:t>
            </w:r>
          </w:p>
        </w:tc>
        <w:tc>
          <w:tcPr>
            <w:tcW w:w="538"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cs="Arial Unicode MS"/>
                <w:sz w:val="21"/>
                <w:szCs w:val="21"/>
              </w:rPr>
              <w:t>杆塔</w:t>
            </w:r>
          </w:p>
        </w:tc>
        <w:tc>
          <w:tcPr>
            <w:tcW w:w="598"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cs="Arial Unicode MS"/>
                <w:sz w:val="21"/>
                <w:szCs w:val="21"/>
              </w:rPr>
              <w:t>利用社会资源</w:t>
            </w:r>
          </w:p>
        </w:tc>
        <w:tc>
          <w:tcPr>
            <w:tcW w:w="44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cs="Arial Unicode MS"/>
                <w:sz w:val="21"/>
                <w:szCs w:val="21"/>
              </w:rPr>
              <w:t>光缆投资</w:t>
            </w:r>
          </w:p>
        </w:tc>
        <w:tc>
          <w:tcPr>
            <w:tcW w:w="44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cs="Arial Unicode MS"/>
                <w:sz w:val="21"/>
                <w:szCs w:val="21"/>
              </w:rPr>
              <w:t>管道投资</w:t>
            </w:r>
          </w:p>
        </w:tc>
        <w:tc>
          <w:tcPr>
            <w:tcW w:w="43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cs="Arial Unicode MS"/>
                <w:sz w:val="21"/>
                <w:szCs w:val="21"/>
              </w:rPr>
              <w:t>传输主设备投资</w:t>
            </w:r>
          </w:p>
        </w:tc>
        <w:tc>
          <w:tcPr>
            <w:tcW w:w="43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lang w:val="en-US" w:eastAsia="zh-CN"/>
              </w:rPr>
              <w:t>室外站</w:t>
            </w:r>
            <w:r>
              <w:rPr>
                <w:rFonts w:cs="Arial Unicode MS"/>
                <w:sz w:val="21"/>
                <w:szCs w:val="21"/>
              </w:rPr>
              <w:t>主设备投资</w:t>
            </w:r>
          </w:p>
        </w:tc>
        <w:tc>
          <w:tcPr>
            <w:tcW w:w="43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cs="Arial Unicode MS"/>
                <w:sz w:val="21"/>
                <w:szCs w:val="21"/>
              </w:rPr>
              <w:t>微站主设备投资</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rPr>
              <w:t>砖混（30平方）</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lang w:val="en-US" w:eastAsia="zh-CN"/>
              </w:rPr>
              <w:t>快装</w:t>
            </w:r>
            <w:r>
              <w:rPr>
                <w:rFonts w:hint="eastAsia" w:cs="Arial Unicode MS"/>
                <w:sz w:val="21"/>
                <w:szCs w:val="21"/>
              </w:rPr>
              <w:t>（30平方）</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rPr>
              <w:t>租用机房（40平方）</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textAlignment w:val="center"/>
              <w:rPr>
                <w:rFonts w:cs="Arial Unicode MS"/>
                <w:sz w:val="21"/>
                <w:szCs w:val="21"/>
              </w:rPr>
            </w:pPr>
            <w:r>
              <w:rPr>
                <w:rFonts w:hint="eastAsia" w:cs="Arial Unicode MS"/>
                <w:sz w:val="21"/>
                <w:szCs w:val="21"/>
              </w:rPr>
              <w:t>租用机房（55平方）</w:t>
            </w:r>
          </w:p>
        </w:tc>
        <w:tc>
          <w:tcPr>
            <w:tcW w:w="575" w:type="dxa"/>
          </w:tcPr>
          <w:p>
            <w:pPr>
              <w:pStyle w:val="25"/>
              <w:spacing w:before="0" w:beforeAutospacing="0" w:after="0" w:afterAutospacing="0"/>
              <w:jc w:val="center"/>
              <w:textAlignment w:val="center"/>
              <w:rPr>
                <w:rFonts w:cs="Arial Unicode MS"/>
                <w:sz w:val="21"/>
                <w:szCs w:val="21"/>
              </w:rPr>
            </w:pPr>
          </w:p>
          <w:p>
            <w:pPr>
              <w:pStyle w:val="25"/>
              <w:spacing w:before="0" w:beforeAutospacing="0" w:after="0" w:afterAutospacing="0"/>
              <w:jc w:val="center"/>
              <w:textAlignment w:val="center"/>
              <w:rPr>
                <w:rFonts w:cs="Arial Unicode MS"/>
                <w:sz w:val="21"/>
                <w:szCs w:val="21"/>
              </w:rPr>
            </w:pPr>
          </w:p>
          <w:p>
            <w:pPr>
              <w:pStyle w:val="25"/>
              <w:spacing w:before="0" w:beforeAutospacing="0" w:after="0" w:afterAutospacing="0"/>
              <w:jc w:val="center"/>
              <w:textAlignment w:val="center"/>
              <w:rPr>
                <w:rFonts w:cs="Arial Unicode MS"/>
                <w:sz w:val="21"/>
                <w:szCs w:val="21"/>
              </w:rPr>
            </w:pPr>
            <w:r>
              <w:rPr>
                <w:rFonts w:cs="Arial Unicode MS"/>
                <w:sz w:val="21"/>
                <w:szCs w:val="21"/>
              </w:rPr>
              <w:t>无源</w:t>
            </w:r>
            <w:r>
              <w:rPr>
                <w:rFonts w:hint="eastAsia" w:cs="Arial Unicode MS"/>
                <w:sz w:val="21"/>
                <w:szCs w:val="21"/>
                <w:lang w:val="en-US" w:eastAsia="zh-CN"/>
              </w:rPr>
              <w:t>室内分布站</w:t>
            </w:r>
            <w:r>
              <w:rPr>
                <w:rFonts w:cs="Arial Unicode MS"/>
                <w:sz w:val="21"/>
                <w:szCs w:val="21"/>
              </w:rPr>
              <w:t>投资</w:t>
            </w:r>
          </w:p>
        </w:tc>
        <w:tc>
          <w:tcPr>
            <w:tcW w:w="571" w:type="dxa"/>
          </w:tcPr>
          <w:p>
            <w:pPr>
              <w:pStyle w:val="25"/>
              <w:textAlignment w:val="center"/>
              <w:rPr>
                <w:rFonts w:cs="Arial Unicode MS"/>
                <w:sz w:val="21"/>
                <w:szCs w:val="21"/>
              </w:rPr>
            </w:pPr>
          </w:p>
          <w:p>
            <w:pPr>
              <w:pStyle w:val="25"/>
              <w:textAlignment w:val="center"/>
              <w:rPr>
                <w:rFonts w:cs="Arial Unicode MS"/>
                <w:sz w:val="21"/>
                <w:szCs w:val="21"/>
              </w:rPr>
            </w:pPr>
            <w:r>
              <w:rPr>
                <w:rFonts w:cs="Arial Unicode MS"/>
                <w:sz w:val="21"/>
                <w:szCs w:val="21"/>
              </w:rPr>
              <w:t>光纤分布投资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trPr>
        <w:tc>
          <w:tcPr>
            <w:tcW w:w="657"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1.43</w:t>
            </w:r>
          </w:p>
        </w:tc>
        <w:tc>
          <w:tcPr>
            <w:tcW w:w="734"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19.33</w:t>
            </w:r>
          </w:p>
        </w:tc>
        <w:tc>
          <w:tcPr>
            <w:tcW w:w="633"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9.99</w:t>
            </w:r>
          </w:p>
        </w:tc>
        <w:tc>
          <w:tcPr>
            <w:tcW w:w="510"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5.18</w:t>
            </w:r>
          </w:p>
        </w:tc>
        <w:tc>
          <w:tcPr>
            <w:tcW w:w="510"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6.49</w:t>
            </w:r>
          </w:p>
        </w:tc>
        <w:tc>
          <w:tcPr>
            <w:tcW w:w="538"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7.51</w:t>
            </w:r>
          </w:p>
        </w:tc>
        <w:tc>
          <w:tcPr>
            <w:tcW w:w="598"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2.48</w:t>
            </w:r>
          </w:p>
        </w:tc>
        <w:tc>
          <w:tcPr>
            <w:tcW w:w="44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2万/km</w:t>
            </w:r>
          </w:p>
        </w:tc>
        <w:tc>
          <w:tcPr>
            <w:tcW w:w="44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5万/km</w:t>
            </w:r>
          </w:p>
        </w:tc>
        <w:tc>
          <w:tcPr>
            <w:tcW w:w="43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3万/套</w:t>
            </w:r>
          </w:p>
        </w:tc>
        <w:tc>
          <w:tcPr>
            <w:tcW w:w="43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8万/套</w:t>
            </w:r>
          </w:p>
        </w:tc>
        <w:tc>
          <w:tcPr>
            <w:tcW w:w="43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3万/套</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16万/套</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14万/套</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20万/套</w:t>
            </w:r>
          </w:p>
        </w:tc>
        <w:tc>
          <w:tcPr>
            <w:tcW w:w="692" w:type="dxa"/>
            <w:shd w:val="clear" w:color="auto" w:fill="auto"/>
            <w:tcMar>
              <w:top w:w="15" w:type="dxa"/>
              <w:left w:w="15" w:type="dxa"/>
              <w:right w:w="15" w:type="dxa"/>
            </w:tcMar>
            <w:vAlign w:val="center"/>
          </w:tcPr>
          <w:p>
            <w:pPr>
              <w:pStyle w:val="25"/>
              <w:spacing w:before="0" w:beforeAutospacing="0" w:after="0" w:afterAutospacing="0"/>
              <w:jc w:val="center"/>
              <w:rPr>
                <w:rFonts w:cs="Arial Unicode MS"/>
                <w:sz w:val="21"/>
                <w:szCs w:val="21"/>
              </w:rPr>
            </w:pPr>
            <w:r>
              <w:rPr>
                <w:rFonts w:hint="eastAsia" w:cs="Arial Unicode MS"/>
                <w:sz w:val="21"/>
                <w:szCs w:val="21"/>
              </w:rPr>
              <w:t>30万/套</w:t>
            </w:r>
          </w:p>
        </w:tc>
        <w:tc>
          <w:tcPr>
            <w:tcW w:w="575" w:type="dxa"/>
          </w:tcPr>
          <w:p>
            <w:pPr>
              <w:pStyle w:val="25"/>
              <w:rPr>
                <w:rFonts w:cs="Arial Unicode MS"/>
                <w:sz w:val="21"/>
                <w:szCs w:val="21"/>
              </w:rPr>
            </w:pPr>
            <w:r>
              <w:rPr>
                <w:rFonts w:cs="Arial Unicode MS"/>
                <w:sz w:val="21"/>
                <w:szCs w:val="21"/>
              </w:rPr>
              <w:t>5.49元/平米</w:t>
            </w:r>
          </w:p>
        </w:tc>
        <w:tc>
          <w:tcPr>
            <w:tcW w:w="571" w:type="dxa"/>
          </w:tcPr>
          <w:p>
            <w:pPr>
              <w:pStyle w:val="25"/>
              <w:rPr>
                <w:rFonts w:cs="Arial Unicode MS"/>
                <w:sz w:val="21"/>
                <w:szCs w:val="21"/>
              </w:rPr>
            </w:pPr>
            <w:r>
              <w:rPr>
                <w:rFonts w:cs="Arial Unicode MS"/>
                <w:sz w:val="21"/>
                <w:szCs w:val="21"/>
              </w:rPr>
              <w:t>4.93元/平米</w:t>
            </w:r>
          </w:p>
        </w:tc>
      </w:tr>
    </w:tbl>
    <w:p>
      <w:pPr>
        <w:pStyle w:val="3"/>
        <w:numPr>
          <w:ilvl w:val="1"/>
          <w:numId w:val="38"/>
        </w:numPr>
        <w:tabs>
          <w:tab w:val="clear" w:pos="480"/>
        </w:tabs>
      </w:pPr>
      <w:bookmarkStart w:id="62" w:name="_Toc19642601"/>
      <w:r>
        <w:rPr>
          <w:rFonts w:hint="eastAsia"/>
        </w:rPr>
        <w:t>规划投资估算</w:t>
      </w:r>
      <w:bookmarkEnd w:id="62"/>
    </w:p>
    <w:p>
      <w:pPr>
        <w:ind w:firstLine="0" w:firstLineChars="0"/>
      </w:pPr>
      <w:r>
        <w:rPr>
          <w:rFonts w:hint="eastAsia"/>
        </w:rPr>
        <w:t>本次铜梁“</w:t>
      </w:r>
      <w:r>
        <w:rPr>
          <w:rFonts w:hint="eastAsia"/>
          <w:lang w:val="en-US" w:eastAsia="zh-CN"/>
        </w:rPr>
        <w:t>5G</w:t>
      </w:r>
      <w:r>
        <w:rPr>
          <w:rFonts w:hint="eastAsia"/>
        </w:rPr>
        <w:t>通信设施</w:t>
      </w:r>
      <w:r>
        <w:rPr>
          <w:rFonts w:hint="eastAsia"/>
          <w:lang w:val="en-US" w:eastAsia="zh-CN"/>
        </w:rPr>
        <w:t>专项</w:t>
      </w:r>
      <w:r>
        <w:rPr>
          <w:rFonts w:hint="eastAsia"/>
        </w:rPr>
        <w:t>规划”进行投资总估算为：</w:t>
      </w:r>
      <w:r>
        <w:rPr>
          <w:rFonts w:hint="eastAsia"/>
          <w:lang w:val="en-US" w:eastAsia="zh-CN"/>
        </w:rPr>
        <w:t>60931.00</w:t>
      </w:r>
      <w:r>
        <w:rPr>
          <w:rFonts w:hint="eastAsia"/>
        </w:rPr>
        <w:t>万元，其中各项费用如下：</w:t>
      </w:r>
    </w:p>
    <w:p>
      <w:r>
        <w:rPr>
          <w:rFonts w:hint="eastAsia"/>
        </w:rPr>
        <w:t>（</w:t>
      </w:r>
      <w:r>
        <w:rPr>
          <w:rFonts w:hint="eastAsia"/>
          <w:lang w:val="en-US" w:eastAsia="zh-CN"/>
        </w:rPr>
        <w:t>1</w:t>
      </w:r>
      <w:r>
        <w:rPr>
          <w:rFonts w:hint="eastAsia"/>
        </w:rPr>
        <w:t>）5G</w:t>
      </w:r>
      <w:r>
        <w:rPr>
          <w:rFonts w:hint="eastAsia"/>
          <w:lang w:val="en-US" w:eastAsia="zh-CN"/>
        </w:rPr>
        <w:t>基站</w:t>
      </w:r>
      <w:r>
        <w:rPr>
          <w:rFonts w:hint="eastAsia"/>
        </w:rPr>
        <w:t>规划投资为50554.17万元（铁塔及配套:15300.35万元，外市电改造：4011.12万元，运营商投资部分:31242.70万元）；</w:t>
      </w:r>
    </w:p>
    <w:p>
      <w:r>
        <w:rPr>
          <w:rFonts w:hint="eastAsia"/>
        </w:rPr>
        <w:t>（</w:t>
      </w:r>
      <w:r>
        <w:rPr>
          <w:rFonts w:hint="eastAsia"/>
          <w:lang w:val="en-US" w:eastAsia="zh-CN"/>
        </w:rPr>
        <w:t>2</w:t>
      </w:r>
      <w:r>
        <w:rPr>
          <w:rFonts w:hint="eastAsia"/>
        </w:rPr>
        <w:t>）</w:t>
      </w:r>
      <w:r>
        <w:rPr>
          <w:rFonts w:hint="eastAsia"/>
          <w:lang w:val="en-US" w:eastAsia="zh-CN"/>
        </w:rPr>
        <w:t>5G室内分布站</w:t>
      </w:r>
      <w:r>
        <w:rPr>
          <w:rFonts w:hint="eastAsia"/>
        </w:rPr>
        <w:t xml:space="preserve">规划投资为9272.83万元； </w:t>
      </w:r>
    </w:p>
    <w:p>
      <w:r>
        <w:rPr>
          <w:rFonts w:hint="eastAsia"/>
        </w:rPr>
        <w:t>（</w:t>
      </w:r>
      <w:r>
        <w:rPr>
          <w:rFonts w:hint="eastAsia"/>
          <w:lang w:val="en-US" w:eastAsia="zh-CN"/>
        </w:rPr>
        <w:t>3</w:t>
      </w:r>
      <w:r>
        <w:rPr>
          <w:rFonts w:hint="eastAsia"/>
        </w:rPr>
        <w:t>）</w:t>
      </w:r>
      <w:r>
        <w:rPr>
          <w:rFonts w:hint="eastAsia"/>
          <w:lang w:val="en-US" w:eastAsia="zh-CN"/>
        </w:rPr>
        <w:t>5G</w:t>
      </w:r>
      <w:r>
        <w:rPr>
          <w:rFonts w:hint="eastAsia"/>
        </w:rPr>
        <w:t>机房</w:t>
      </w:r>
      <w:r>
        <w:rPr>
          <w:rFonts w:hint="eastAsia"/>
          <w:lang w:val="en-US" w:eastAsia="zh-CN"/>
        </w:rPr>
        <w:t>规划</w:t>
      </w:r>
      <w:r>
        <w:rPr>
          <w:rFonts w:hint="eastAsia"/>
        </w:rPr>
        <w:t>投资为1104.00万元。</w:t>
      </w:r>
    </w:p>
    <w:p>
      <w:r>
        <w:rPr>
          <w:rFonts w:hint="eastAsia"/>
        </w:rPr>
        <w:t>具体近远期规划投资明细如下表：</w:t>
      </w:r>
    </w:p>
    <w:tbl>
      <w:tblPr>
        <w:tblStyle w:val="27"/>
        <w:tblW w:w="4999" w:type="pct"/>
        <w:tblInd w:w="0" w:type="dxa"/>
        <w:tblLayout w:type="autofit"/>
        <w:tblCellMar>
          <w:top w:w="0" w:type="dxa"/>
          <w:left w:w="108" w:type="dxa"/>
          <w:bottom w:w="0" w:type="dxa"/>
          <w:right w:w="108" w:type="dxa"/>
        </w:tblCellMar>
      </w:tblPr>
      <w:tblGrid>
        <w:gridCol w:w="2189"/>
        <w:gridCol w:w="3108"/>
        <w:gridCol w:w="2926"/>
        <w:gridCol w:w="2245"/>
      </w:tblGrid>
      <w:tr>
        <w:tblPrEx>
          <w:tblCellMar>
            <w:top w:w="0" w:type="dxa"/>
            <w:left w:w="108" w:type="dxa"/>
            <w:bottom w:w="0" w:type="dxa"/>
            <w:right w:w="108" w:type="dxa"/>
          </w:tblCellMar>
        </w:tblPrEx>
        <w:trPr>
          <w:trHeight w:val="594" w:hRule="atLeast"/>
          <w:tblHeader/>
        </w:trPr>
        <w:tc>
          <w:tcPr>
            <w:tcW w:w="10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560" w:firstLineChars="0"/>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规划期限</w:t>
            </w:r>
          </w:p>
        </w:tc>
        <w:tc>
          <w:tcPr>
            <w:tcW w:w="1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lang w:val="en-US" w:eastAsia="zh-CN"/>
              </w:rPr>
              <w:t>室外站</w:t>
            </w:r>
            <w:r>
              <w:rPr>
                <w:rFonts w:hint="eastAsia" w:ascii="微软雅黑" w:hAnsi="微软雅黑" w:eastAsia="微软雅黑" w:cs="宋体"/>
                <w:color w:val="000000"/>
                <w:kern w:val="0"/>
                <w:sz w:val="21"/>
                <w:szCs w:val="21"/>
              </w:rPr>
              <w:t>投资(单位：万元)</w:t>
            </w:r>
          </w:p>
        </w:tc>
        <w:tc>
          <w:tcPr>
            <w:tcW w:w="139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lang w:val="en-US" w:eastAsia="zh-CN"/>
              </w:rPr>
              <w:t>室内分布</w:t>
            </w:r>
            <w:r>
              <w:rPr>
                <w:rFonts w:hint="eastAsia" w:ascii="微软雅黑" w:hAnsi="微软雅黑" w:eastAsia="微软雅黑" w:cs="宋体"/>
                <w:color w:val="000000"/>
                <w:kern w:val="0"/>
                <w:sz w:val="21"/>
                <w:szCs w:val="21"/>
              </w:rPr>
              <w:t>投资(单位：万元)</w:t>
            </w:r>
          </w:p>
        </w:tc>
        <w:tc>
          <w:tcPr>
            <w:tcW w:w="10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机房投资</w:t>
            </w:r>
          </w:p>
        </w:tc>
      </w:tr>
      <w:tr>
        <w:tblPrEx>
          <w:tblCellMar>
            <w:top w:w="0" w:type="dxa"/>
            <w:left w:w="108" w:type="dxa"/>
            <w:bottom w:w="0" w:type="dxa"/>
            <w:right w:w="108" w:type="dxa"/>
          </w:tblCellMar>
        </w:tblPrEx>
        <w:trPr>
          <w:trHeight w:val="405" w:hRule="atLeast"/>
          <w:tblHeader/>
        </w:trPr>
        <w:tc>
          <w:tcPr>
            <w:tcW w:w="10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微软雅黑" w:hAnsi="微软雅黑" w:eastAsia="微软雅黑" w:cs="宋体"/>
                <w:color w:val="000000"/>
                <w:kern w:val="0"/>
                <w:sz w:val="21"/>
                <w:szCs w:val="21"/>
              </w:rPr>
            </w:pPr>
          </w:p>
        </w:tc>
        <w:tc>
          <w:tcPr>
            <w:tcW w:w="148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5G</w:t>
            </w:r>
          </w:p>
        </w:tc>
        <w:tc>
          <w:tcPr>
            <w:tcW w:w="139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5G</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5G</w:t>
            </w:r>
          </w:p>
        </w:tc>
      </w:tr>
      <w:tr>
        <w:tblPrEx>
          <w:tblCellMar>
            <w:top w:w="0" w:type="dxa"/>
            <w:left w:w="108" w:type="dxa"/>
            <w:bottom w:w="0" w:type="dxa"/>
            <w:right w:w="108" w:type="dxa"/>
          </w:tblCellMar>
        </w:tblPrEx>
        <w:trPr>
          <w:trHeight w:val="405" w:hRule="atLeast"/>
        </w:trPr>
        <w:tc>
          <w:tcPr>
            <w:tcW w:w="104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2019-2021年</w:t>
            </w:r>
          </w:p>
        </w:tc>
        <w:tc>
          <w:tcPr>
            <w:tcW w:w="148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30332.50 </w:t>
            </w:r>
          </w:p>
        </w:tc>
        <w:tc>
          <w:tcPr>
            <w:tcW w:w="139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5563.70 </w:t>
            </w:r>
          </w:p>
        </w:tc>
        <w:tc>
          <w:tcPr>
            <w:tcW w:w="107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662.40 </w:t>
            </w:r>
          </w:p>
        </w:tc>
      </w:tr>
      <w:tr>
        <w:tblPrEx>
          <w:tblCellMar>
            <w:top w:w="0" w:type="dxa"/>
            <w:left w:w="108" w:type="dxa"/>
            <w:bottom w:w="0" w:type="dxa"/>
            <w:right w:w="108" w:type="dxa"/>
          </w:tblCellMar>
        </w:tblPrEx>
        <w:trPr>
          <w:trHeight w:val="405" w:hRule="atLeast"/>
        </w:trPr>
        <w:tc>
          <w:tcPr>
            <w:tcW w:w="104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2022-2025年</w:t>
            </w:r>
          </w:p>
        </w:tc>
        <w:tc>
          <w:tcPr>
            <w:tcW w:w="148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20221.67 </w:t>
            </w:r>
          </w:p>
        </w:tc>
        <w:tc>
          <w:tcPr>
            <w:tcW w:w="139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3709.13 </w:t>
            </w:r>
          </w:p>
        </w:tc>
        <w:tc>
          <w:tcPr>
            <w:tcW w:w="107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441.60 </w:t>
            </w:r>
          </w:p>
        </w:tc>
      </w:tr>
      <w:tr>
        <w:tblPrEx>
          <w:tblCellMar>
            <w:top w:w="0" w:type="dxa"/>
            <w:left w:w="108" w:type="dxa"/>
            <w:bottom w:w="0" w:type="dxa"/>
            <w:right w:w="108" w:type="dxa"/>
          </w:tblCellMar>
        </w:tblPrEx>
        <w:trPr>
          <w:trHeight w:val="405" w:hRule="atLeast"/>
        </w:trPr>
        <w:tc>
          <w:tcPr>
            <w:tcW w:w="104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总计</w:t>
            </w:r>
          </w:p>
        </w:tc>
        <w:tc>
          <w:tcPr>
            <w:tcW w:w="148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50554.17 </w:t>
            </w:r>
          </w:p>
        </w:tc>
        <w:tc>
          <w:tcPr>
            <w:tcW w:w="139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9272.83 </w:t>
            </w:r>
          </w:p>
        </w:tc>
        <w:tc>
          <w:tcPr>
            <w:tcW w:w="107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 xml:space="preserve">1104.00 </w:t>
            </w:r>
          </w:p>
        </w:tc>
      </w:tr>
    </w:tbl>
    <w:p>
      <w:pPr>
        <w:pStyle w:val="2"/>
        <w:contextualSpacing/>
      </w:pPr>
      <w:bookmarkStart w:id="63" w:name="_Toc19642602"/>
      <w:r>
        <w:t>环境保护</w:t>
      </w:r>
      <w:bookmarkEnd w:id="60"/>
      <w:bookmarkEnd w:id="63"/>
    </w:p>
    <w:p>
      <w:pPr>
        <w:pStyle w:val="3"/>
        <w:numPr>
          <w:ilvl w:val="1"/>
          <w:numId w:val="39"/>
        </w:numPr>
      </w:pPr>
      <w:bookmarkStart w:id="64" w:name="_Toc19642603"/>
      <w:bookmarkStart w:id="65" w:name="_Toc463885832"/>
      <w:bookmarkStart w:id="66" w:name="_Toc462760566"/>
      <w:bookmarkStart w:id="67" w:name="_Toc409095017"/>
      <w:r>
        <w:t>电磁辐射</w:t>
      </w:r>
      <w:bookmarkEnd w:id="64"/>
      <w:bookmarkEnd w:id="65"/>
      <w:bookmarkEnd w:id="66"/>
      <w:bookmarkEnd w:id="67"/>
    </w:p>
    <w:p>
      <w:r>
        <w:t>根据中华人民共和国国家标准《电磁辐射防护规定》（GB 8702-2014），通信设施电磁辐射的公众曝露控制值为:电场强度</w:t>
      </w:r>
      <w:r>
        <w:rPr>
          <w:rFonts w:hint="eastAsia"/>
        </w:rPr>
        <w:t>E&lt;12(</w:t>
      </w:r>
      <w:r>
        <w:t>V/m</w:t>
      </w:r>
      <w:r>
        <w:rPr>
          <w:rFonts w:hint="eastAsia"/>
        </w:rPr>
        <w:t>) ，功率密度S</w:t>
      </w:r>
      <w:r>
        <w:t>&lt;0.4(W/m2)，频率为30MHz~300MHz。</w:t>
      </w:r>
    </w:p>
    <w:p>
      <w:r>
        <w:rPr>
          <w:rFonts w:hint="eastAsia"/>
        </w:rPr>
        <w:t>对电磁辐射设施（设备）豁免的范围：</w:t>
      </w:r>
    </w:p>
    <w:p>
      <w:r>
        <w:t>向没有屏蔽空间发射0.1MHz~300GHz电磁场的，其等效辐射功率小于：频率范围为0.1MHz~3MHz，等效辐射功率300W；&gt;3MHz~300000MHz，等效辐射功率100W。</w:t>
      </w:r>
    </w:p>
    <w:p>
      <w:pPr>
        <w:pStyle w:val="3"/>
        <w:numPr>
          <w:ilvl w:val="1"/>
          <w:numId w:val="39"/>
        </w:numPr>
      </w:pPr>
      <w:bookmarkStart w:id="68" w:name="_Toc462760567"/>
      <w:bookmarkStart w:id="69" w:name="_Toc19642604"/>
      <w:bookmarkStart w:id="70" w:name="_Toc463885833"/>
      <w:r>
        <w:t>生态保护</w:t>
      </w:r>
      <w:bookmarkEnd w:id="68"/>
      <w:bookmarkEnd w:id="69"/>
      <w:bookmarkEnd w:id="70"/>
    </w:p>
    <w:p>
      <w:r>
        <w:t>通信局（站）选址和通信线路路由选取应尽量减少占用耕地、林地和草地。</w:t>
      </w:r>
    </w:p>
    <w:p>
      <w:r>
        <w:t>在风景区、景区公路旁、繁华城区以及主要交通干道两侧兴建的通信设施，应在形态、线形、色彩等要素上与环境相协调，不得严重影响景观。</w:t>
      </w:r>
    </w:p>
    <w:p>
      <w:r>
        <w:t>通信局（站）使用的柴油发电机、油汽轮机的废气排放应符合环保要求。</w:t>
      </w:r>
    </w:p>
    <w:p>
      <w:r>
        <w:t>通信工程建设中应优先采用环保的施工工艺和材料，不得使用不符合环保标准的工艺、材料。</w:t>
      </w:r>
    </w:p>
    <w:p>
      <w:r>
        <w:t>通信局（站）报废的</w:t>
      </w:r>
      <w:r>
        <w:rPr>
          <w:rFonts w:hint="eastAsia"/>
        </w:rPr>
        <w:t>铅酸蓄电池回收须执行《中华人民共和国固体废物污染环境防治法》和《通信用铅酸蓄电池的回收处理要求》（GB</w:t>
      </w:r>
      <w:r>
        <w:t>/</w:t>
      </w:r>
      <w:r>
        <w:rPr>
          <w:rFonts w:hint="eastAsia"/>
        </w:rPr>
        <w:t>T 22424-2008）的规定。</w:t>
      </w:r>
    </w:p>
    <w:p>
      <w:pPr>
        <w:pStyle w:val="3"/>
        <w:numPr>
          <w:ilvl w:val="1"/>
          <w:numId w:val="39"/>
        </w:numPr>
      </w:pPr>
      <w:bookmarkStart w:id="71" w:name="_Toc463885834"/>
      <w:bookmarkStart w:id="72" w:name="_Toc225099048"/>
      <w:bookmarkStart w:id="73" w:name="_Toc462760568"/>
      <w:bookmarkStart w:id="74" w:name="_Toc19642605"/>
      <w:r>
        <w:t>噪声控制</w:t>
      </w:r>
      <w:bookmarkEnd w:id="71"/>
      <w:bookmarkEnd w:id="72"/>
      <w:bookmarkEnd w:id="73"/>
      <w:bookmarkEnd w:id="74"/>
    </w:p>
    <w:p>
      <w:r>
        <w:t>通信建设项目在施工过程中排放的噪声，应当满足GB 12523-2011《建筑施工场界环境噪声排放标准》的要求，并符合环保部门的相关规定。</w:t>
      </w:r>
    </w:p>
    <w:p>
      <w:r>
        <w:t>通信局（站）建设应合理选址，并满足GB 12348-2008《工业企业厂界噪声排放标准》的要求。</w:t>
      </w:r>
    </w:p>
    <w:p>
      <w:r>
        <w:t>必须保持防治环境噪声污染的设施正常使用，拆除或闲置环境噪声污染防治设施应报环境保护行政主管部门批准。</w:t>
      </w:r>
    </w:p>
    <w:p>
      <w:pPr>
        <w:pStyle w:val="2"/>
        <w:contextualSpacing/>
      </w:pPr>
      <w:bookmarkStart w:id="75" w:name="_Toc19642606"/>
      <w:r>
        <w:t>规划实施建议</w:t>
      </w:r>
      <w:bookmarkEnd w:id="75"/>
    </w:p>
    <w:p>
      <w:pPr>
        <w:contextualSpacing/>
      </w:pPr>
      <w:r>
        <w:t>各乡镇、各部门必须采取有效措施，强化组织、制度、政策、宣传和考核等方面的保障，确保本规划的各项奋斗目标顺利实现</w:t>
      </w:r>
      <w:r>
        <w:rPr>
          <w:rFonts w:hint="eastAsia"/>
        </w:rPr>
        <w:t>。</w:t>
      </w:r>
    </w:p>
    <w:p>
      <w:pPr>
        <w:pStyle w:val="3"/>
        <w:numPr>
          <w:ilvl w:val="1"/>
          <w:numId w:val="40"/>
        </w:numPr>
        <w:contextualSpacing/>
      </w:pPr>
      <w:bookmarkStart w:id="76" w:name="_Toc19642607"/>
      <w:bookmarkStart w:id="77" w:name="_Toc462760577"/>
      <w:bookmarkStart w:id="78" w:name="_Toc423011152"/>
      <w:r>
        <w:t>加强组织管理保障</w:t>
      </w:r>
      <w:bookmarkEnd w:id="76"/>
      <w:bookmarkEnd w:id="77"/>
      <w:bookmarkEnd w:id="78"/>
    </w:p>
    <w:p>
      <w:pPr>
        <w:contextualSpacing/>
      </w:pPr>
      <w:r>
        <w:t>充分发挥</w:t>
      </w:r>
      <w:r>
        <w:rPr>
          <w:rFonts w:hint="eastAsia"/>
        </w:rPr>
        <w:t>铜梁</w:t>
      </w:r>
      <w:r>
        <w:t>区通信业发展工作协调领导小组的作用，建立决策科学、运行有效、职责明确的领导体制和工作机制，制定和实施全区通信基础设施建设行动计划，督促和推动通信基础设施重点工程建设，协调解决通信基础设施建设和运营中的问题。组建通信基础设施建设专家咨询委员会，在制定发展规划、重点工程项目方案评审和通信基础设施建设成果鉴定等方面发挥作用。</w:t>
      </w:r>
    </w:p>
    <w:p>
      <w:pPr>
        <w:contextualSpacing/>
        <w:rPr>
          <w:rFonts w:eastAsia="华文细黑"/>
        </w:rPr>
      </w:pPr>
      <w:r>
        <w:t>强化规划局作为市政规划主管部门在通信基础设施建设中的统领作用。发挥其统筹规划、科学管理和宏观调控职能，对全区通信基础设施建设进行统一规划。为保障通信基础设施规划的实施，有必要成立相关保障组织，建立起政府、企业、其他相关部门的横向配合机制，市、区、镇纵向沟通机制。</w:t>
      </w:r>
    </w:p>
    <w:p>
      <w:pPr>
        <w:contextualSpacing/>
      </w:pPr>
      <w:r>
        <w:t>建立通信基础设施建设联动机制，充分调动各乡镇机关、行业主管部门的积极性。加强对信息化发展思路、模式、法制、机制的研究，促进乡镇与乡镇之间、部门与部门之间、政府与企业之间的协同配合，提高决策水平</w:t>
      </w:r>
      <w:r>
        <w:rPr>
          <w:rFonts w:hint="eastAsia"/>
        </w:rPr>
        <w:t>。</w:t>
      </w:r>
    </w:p>
    <w:p>
      <w:pPr>
        <w:pStyle w:val="3"/>
        <w:numPr>
          <w:ilvl w:val="1"/>
          <w:numId w:val="40"/>
        </w:numPr>
        <w:contextualSpacing/>
      </w:pPr>
      <w:bookmarkStart w:id="79" w:name="_Toc19642608"/>
      <w:r>
        <w:rPr>
          <w:rFonts w:hint="eastAsia"/>
        </w:rPr>
        <w:t>加大政策扶持力度</w:t>
      </w:r>
      <w:bookmarkEnd w:id="79"/>
    </w:p>
    <w:p>
      <w:pPr>
        <w:contextualSpacing/>
      </w:pPr>
      <w:r>
        <w:t>贯彻落实国家、省推进信息化与通信基础设施建设的政策法规，制定出台具有</w:t>
      </w:r>
      <w:r>
        <w:rPr>
          <w:rFonts w:hint="eastAsia"/>
        </w:rPr>
        <w:t>铜梁</w:t>
      </w:r>
      <w:r>
        <w:t>区域特色的通信基础设施建设管理、信息化和工业化融合、通信市场监管、和知识产权保护等相关配套政策法规，健全全区通信基础设施发展的行政管理规范。</w:t>
      </w:r>
    </w:p>
    <w:p>
      <w:pPr>
        <w:contextualSpacing/>
      </w:pPr>
      <w:r>
        <w:t>各级规划部门要将通信基础设施建设规划纳入城乡建设规划，实现与国民经济和社会发展规划等其他规划的有效衔接与同步实施，依据</w:t>
      </w:r>
      <w:r>
        <w:rPr>
          <w:rFonts w:hint="eastAsia"/>
        </w:rPr>
        <w:t>铜梁</w:t>
      </w:r>
      <w:r>
        <w:t>区人民政府批复的通信基础设施规划，保障信息通信基础设施建设用地。将政府与各通信企业签订的战略合作框架协议及所涉及的通信楼、光缆、基站等建设项目纳入城乡发展规划、土地利用规划等统筹安排。建立健全通信设施与大型公用设施建设统一规划、同步建设制度。</w:t>
      </w:r>
    </w:p>
    <w:p>
      <w:pPr>
        <w:contextualSpacing/>
      </w:pPr>
      <w:r>
        <w:t>完善通信基础设施建设用地和通信传输光缆、线路的保护制度，避免市政改造造成已有基础设施(如管线、基站、局房等)的浪费，规范市政建设对信息通信基础设施破损等的赔补。在城市建设规划中充分考虑信息通信基础设施重建，对被拆设施(站点、传输等)给予政策支持，保障新站建设顺利实施，确保拆一还一，保障用户通信质量。</w:t>
      </w:r>
    </w:p>
    <w:p>
      <w:pPr>
        <w:contextualSpacing/>
      </w:pPr>
      <w:r>
        <w:t>坚持</w:t>
      </w:r>
      <w:r>
        <w:rPr>
          <w:rFonts w:hint="eastAsia"/>
        </w:rPr>
        <w:t>“</w:t>
      </w:r>
      <w:r>
        <w:t>服务、规范、调整、提高</w:t>
      </w:r>
      <w:r>
        <w:rPr>
          <w:rFonts w:hint="eastAsia"/>
        </w:rPr>
        <w:t>”</w:t>
      </w:r>
      <w:r>
        <w:t>的工作方针，制定落实通信基础设施市场竞争制度。按照用户自由选择、企业公平接入、资源共建共享的原则，进一步规范通信基础设施建设，完善通信管线和用户接入资源的共享机制。积极推进三网融合和优化整合，发挥各种网络资源的比较优势，避免重复建设。加强新技术、新业务创新的引导，对新技术和新业务带来的影响进行科学评估与研究</w:t>
      </w:r>
      <w:r>
        <w:rPr>
          <w:rFonts w:hint="eastAsia"/>
        </w:rPr>
        <w:t>。</w:t>
      </w:r>
    </w:p>
    <w:p>
      <w:pPr>
        <w:pStyle w:val="3"/>
        <w:numPr>
          <w:ilvl w:val="1"/>
          <w:numId w:val="40"/>
        </w:numPr>
        <w:contextualSpacing/>
      </w:pPr>
      <w:bookmarkStart w:id="80" w:name="_Toc19642609"/>
      <w:r>
        <w:t>优化行业发展</w:t>
      </w:r>
      <w:r>
        <w:rPr>
          <w:rFonts w:hint="eastAsia"/>
        </w:rPr>
        <w:t>环境</w:t>
      </w:r>
      <w:bookmarkEnd w:id="80"/>
    </w:p>
    <w:p>
      <w:pPr>
        <w:contextualSpacing/>
      </w:pPr>
      <w:r>
        <w:t>各乡镇、各部门要进一步加强协调配合，不断优化通信基础设施建设与发展的社会环境。针对房产商的通信基础设施审核机制，规划、建设部门要将通信配套设施纳入小区建设规划审查范围，将通信配套设施纳入新建项目的竣工验收范围，在房屋竣工前必须进行通信基础设施资源是否标准的审核和报备，对于没有预留通信基础设施资源或者通信基础资源建设不合格的房产，原则上不予竣工验收</w:t>
      </w:r>
      <w:r>
        <w:rPr>
          <w:rFonts w:hint="eastAsia"/>
        </w:rPr>
        <w:t>。</w:t>
      </w:r>
    </w:p>
    <w:p>
      <w:pPr>
        <w:contextualSpacing/>
        <w:jc w:val="center"/>
      </w:pPr>
      <w:r>
        <w:drawing>
          <wp:inline distT="0" distB="0" distL="114300" distR="114300">
            <wp:extent cx="2482850" cy="3411220"/>
            <wp:effectExtent l="0" t="0" r="12700" b="17780"/>
            <wp:docPr id="104"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87"/>
                    <pic:cNvPicPr>
                      <a:picLocks noChangeAspect="1"/>
                    </pic:cNvPicPr>
                  </pic:nvPicPr>
                  <pic:blipFill>
                    <a:blip r:embed="rId18"/>
                    <a:stretch>
                      <a:fillRect/>
                    </a:stretch>
                  </pic:blipFill>
                  <pic:spPr>
                    <a:xfrm>
                      <a:off x="0" y="0"/>
                      <a:ext cx="2482850" cy="3411220"/>
                    </a:xfrm>
                    <a:prstGeom prst="rect">
                      <a:avLst/>
                    </a:prstGeom>
                    <a:noFill/>
                    <a:ln w="9525">
                      <a:noFill/>
                    </a:ln>
                  </pic:spPr>
                </pic:pic>
              </a:graphicData>
            </a:graphic>
          </wp:inline>
        </w:drawing>
      </w:r>
    </w:p>
    <w:p>
      <w:pPr>
        <w:contextualSpacing/>
        <w:jc w:val="center"/>
      </w:pPr>
      <w:r>
        <w:t>通信基础设施资源审核报备流程示意图</w:t>
      </w:r>
    </w:p>
    <w:p>
      <w:pPr>
        <w:spacing w:line="460" w:lineRule="exact"/>
        <w:contextualSpacing/>
      </w:pPr>
      <w:r>
        <w:t>加快审核通信楼、基站站址和通信光缆等通信基础设施规划设计方案。国土资源部门对符合用地预审和土地征收等条件的通信基础设施建设项目，要尽快办理用地手续。交通、铁路部门要及时审批在公路、铁路、客运站等控制区内埋设管线、架设光电缆及通信基站等设施的申请。并通过建立联席会议，实时保障通信基础设施建设有序进行。</w:t>
      </w:r>
    </w:p>
    <w:p>
      <w:pPr>
        <w:spacing w:line="460" w:lineRule="exact"/>
        <w:contextualSpacing/>
      </w:pPr>
      <w:r>
        <w:t>环保部门要做好有关基站电磁辐射投诉的宣传解释工作，积极协调上级环保部门加快基站电磁辐射环境影响评价审批工作进度，进一步推进规划环评试行工作，为基站建设选址提供支撑。无线电管理部门要在国家政策框架下依法简化程序，及时审批基站建设所需的无线电频率资源。公安部门要依法严厉惩处各类干扰破坏通信基础设施建设的行为。</w:t>
      </w:r>
    </w:p>
    <w:p>
      <w:pPr>
        <w:spacing w:line="460" w:lineRule="exact"/>
        <w:contextualSpacing/>
      </w:pPr>
      <w:r>
        <w:t>供电企业要切实保障通信基础设施建设项目的电力供应，对通信电力工程建设给予最大限度支持，对用电性质相同、共建共享的通信企业共用电源，应视为非转供电并给予支持。各建筑设计单位、开发企业要按照重庆市住宅小区和商住楼通信设施相关技术标准进行设计施工和建设，满足各通信运营企业宽带业务、驻地网等接入要求。</w:t>
      </w:r>
    </w:p>
    <w:p>
      <w:pPr>
        <w:spacing w:line="460" w:lineRule="exact"/>
        <w:contextualSpacing/>
      </w:pPr>
      <w:r>
        <w:t>建设单位在铁路、公路、政府投资的公共基础设施以及城市道路拓宽改造工程的项目规划、勘察设计前，应书面征求通信企业投资同步建设需求，通信企业要积极配合，做到同步实施、协调发展。</w:t>
      </w:r>
    </w:p>
    <w:p>
      <w:pPr>
        <w:spacing w:line="460" w:lineRule="exact"/>
        <w:contextualSpacing/>
      </w:pPr>
      <w:r>
        <w:t>各通信企业应超前规划、共建共享通信基站，避免单独、分散、滞后建站。各级政府要帮助企业解决影响基站选址、管线敷设等问题，有关部门要率先开放机关、国有企事业单位、高校园区、公共场所、公共设施(绿地、灯杆等)、车站等所属建筑物，支持通信光缆、基站以及室内分布系统等信息通信基础设施的建设</w:t>
      </w:r>
      <w:r>
        <w:rPr>
          <w:rFonts w:hint="eastAsia"/>
        </w:rPr>
        <w:t>。</w:t>
      </w:r>
    </w:p>
    <w:p>
      <w:pPr>
        <w:pStyle w:val="3"/>
        <w:numPr>
          <w:ilvl w:val="1"/>
          <w:numId w:val="40"/>
        </w:numPr>
        <w:spacing w:line="460" w:lineRule="exact"/>
        <w:contextualSpacing/>
      </w:pPr>
      <w:bookmarkStart w:id="81" w:name="_Toc462760580"/>
      <w:bookmarkStart w:id="82" w:name="_Toc19642610"/>
      <w:bookmarkStart w:id="83" w:name="_Toc423011155"/>
      <w:r>
        <w:t>建立健全多元化投融资机制</w:t>
      </w:r>
      <w:bookmarkEnd w:id="81"/>
      <w:bookmarkEnd w:id="82"/>
      <w:bookmarkEnd w:id="83"/>
    </w:p>
    <w:p>
      <w:pPr>
        <w:spacing w:line="460" w:lineRule="exact"/>
        <w:contextualSpacing/>
      </w:pPr>
      <w:r>
        <w:t>加大政府对信息化和通信基础设施建设的投入，高质量、高效率地推进一批全局性、基础性、公益性、示范性的重大工程。加强对政府投入资金的管理、监督和审计，保证项目的公开、透明和有效性。</w:t>
      </w:r>
    </w:p>
    <w:p>
      <w:pPr>
        <w:spacing w:line="460" w:lineRule="exact"/>
        <w:contextualSpacing/>
      </w:pPr>
      <w:r>
        <w:t>完善通信基础设施建设的投融资机制和管理模式，逐步形成</w:t>
      </w:r>
      <w:r>
        <w:rPr>
          <w:rFonts w:hint="eastAsia"/>
        </w:rPr>
        <w:t>“</w:t>
      </w:r>
      <w:r>
        <w:t>通信企业公平接入、用户自由选择</w:t>
      </w:r>
      <w:r>
        <w:rPr>
          <w:rFonts w:hint="eastAsia"/>
        </w:rPr>
        <w:t>”</w:t>
      </w:r>
      <w:r>
        <w:t>的市场格局。积极探索信息化和通信基础设施建设项目产业化、市场化运作模式，广泛吸纳社会资本。加大招商引资力度，吸纳国内外企业来</w:t>
      </w:r>
      <w:r>
        <w:rPr>
          <w:rFonts w:hint="eastAsia"/>
        </w:rPr>
        <w:t>铜梁</w:t>
      </w:r>
      <w:r>
        <w:t>投资通信基础设施建设，并通过他们的投资示范作用，带动民间资本、私营企业参与建设。此外，全面引入有利于通信企业竞争、联合和发展的激励机制，充分发挥社会各方面的力量参与信息化和通信基础设施的建设与运营；引导、规范通信企业对政府依法开放的信息资源进行增值开发，允许其利用所得来回收投资、补偿成本并获得回报</w:t>
      </w:r>
      <w:r>
        <w:rPr>
          <w:rFonts w:hint="eastAsia"/>
        </w:rPr>
        <w:t>。</w:t>
      </w:r>
    </w:p>
    <w:p>
      <w:pPr>
        <w:pStyle w:val="3"/>
        <w:numPr>
          <w:ilvl w:val="1"/>
          <w:numId w:val="40"/>
        </w:numPr>
        <w:spacing w:line="460" w:lineRule="exact"/>
        <w:contextualSpacing/>
      </w:pPr>
      <w:bookmarkStart w:id="84" w:name="_Toc19642611"/>
      <w:r>
        <w:t>营造良好舆论</w:t>
      </w:r>
      <w:r>
        <w:rPr>
          <w:rFonts w:hint="eastAsia"/>
        </w:rPr>
        <w:t>氛围</w:t>
      </w:r>
      <w:bookmarkEnd w:id="84"/>
    </w:p>
    <w:p>
      <w:pPr>
        <w:spacing w:line="460" w:lineRule="exact"/>
        <w:contextualSpacing/>
      </w:pPr>
      <w:r>
        <w:t>通信基础设施宣传工作是优化通信基础设施建设发展环境的重要内容。区经信、宣传等部门要将通信基础设施宣传工作列入重要工作内容，深入宣传贯彻党中央、国务院和省、市有关信息化和通信基础设施建设发展的方针政策，及时准确反映全市信息化和通信基础设施建设工作情况。要准确把握新形势下信息化和通信基础设施建设宣传工作的特点和规律，不断创新信息化和通信基础设施建设宣传的方式和方法。要加强舆论引导，加大对信息通信基础设施相关知识的宣传普及力度，积极推进通信知识进农村、学校、企业、社区活动，消除公众对基站、广播电视发射塔电磁辐射的片面认识，推动全社会对通信基础设施建设工作的关注、支持和参与，努力营造全社会共同支持信息通信基础设施建设的良好氛围</w:t>
      </w:r>
      <w:r>
        <w:rPr>
          <w:rFonts w:hint="eastAsia"/>
        </w:rPr>
        <w:t>。</w:t>
      </w:r>
    </w:p>
    <w:p>
      <w:pPr>
        <w:pStyle w:val="3"/>
        <w:numPr>
          <w:ilvl w:val="1"/>
          <w:numId w:val="40"/>
        </w:numPr>
        <w:spacing w:line="460" w:lineRule="exact"/>
        <w:contextualSpacing/>
      </w:pPr>
      <w:bookmarkStart w:id="85" w:name="_Toc19642612"/>
      <w:r>
        <w:t>加强通信安全体系</w:t>
      </w:r>
      <w:r>
        <w:rPr>
          <w:rFonts w:hint="eastAsia"/>
        </w:rPr>
        <w:t>建设</w:t>
      </w:r>
      <w:bookmarkEnd w:id="85"/>
    </w:p>
    <w:p>
      <w:pPr>
        <w:spacing w:line="460" w:lineRule="exact"/>
        <w:contextualSpacing/>
      </w:pPr>
      <w:r>
        <w:t>按照</w:t>
      </w:r>
      <w:r>
        <w:rPr>
          <w:rFonts w:hint="eastAsia"/>
        </w:rPr>
        <w:t>“</w:t>
      </w:r>
      <w:r>
        <w:t>积极防御，综合防范</w:t>
      </w:r>
      <w:r>
        <w:rPr>
          <w:rFonts w:hint="eastAsia"/>
        </w:rPr>
        <w:t>”</w:t>
      </w:r>
      <w:r>
        <w:t>的方针，推进通信基础设施建设安全保障体系建设。各相关部门和通信企业要加强通信基础设施建设安全制度和技术体系建设。制定通信安全管理办法和建设标准，细化实现通信安全总体目标中必须落实的各项安全要求。加大对通信基础设施重要节点的安全防护力度。任何组织、个人对经批准建设的通信线路、基站及其他通信基础设施，不得擅自改动或迁移。需要对已有通信基础设施进行改动或迁移的，应事先组织通信企业参与施工方案会审。施工单位应严格执行施工规范，确保各通信运营企业在重要节点和路段的通信基础设施安全。</w:t>
      </w:r>
    </w:p>
    <w:p>
      <w:pPr>
        <w:spacing w:line="460" w:lineRule="exact"/>
        <w:contextualSpacing/>
      </w:pPr>
      <w:r>
        <w:t>各级政府要建立健全通信基础设施安全应急反应及处置机制。开展信息和通信基础设施安全教育，依靠、发动社会各方面力量，建立完善通信基础设施安全防护体系，确保全市通信网络安全畅通，确保国家和人民生命财产的安全，维护政治、经济和社会稳定</w:t>
      </w:r>
      <w:r>
        <w:rPr>
          <w:rFonts w:hint="eastAsia"/>
        </w:rPr>
        <w:t>。</w:t>
      </w:r>
    </w:p>
    <w:p>
      <w:pPr>
        <w:pStyle w:val="3"/>
        <w:numPr>
          <w:ilvl w:val="1"/>
          <w:numId w:val="40"/>
        </w:numPr>
        <w:spacing w:line="460" w:lineRule="exact"/>
        <w:contextualSpacing/>
      </w:pPr>
      <w:bookmarkStart w:id="86" w:name="_Toc19642613"/>
      <w:r>
        <w:t>进行考核评估体系</w:t>
      </w:r>
      <w:r>
        <w:rPr>
          <w:rFonts w:hint="eastAsia"/>
        </w:rPr>
        <w:t>建设</w:t>
      </w:r>
      <w:bookmarkEnd w:id="86"/>
    </w:p>
    <w:p>
      <w:pPr>
        <w:spacing w:line="460" w:lineRule="exact"/>
        <w:contextualSpacing/>
      </w:pPr>
      <w:r>
        <w:t>制定科学合理的通信基础设施建设统计指标体系，将各区域通信基础设施建设工作目标考核纳入区委、区政府年度目标管理责任制考核范围。</w:t>
      </w:r>
    </w:p>
    <w:p>
      <w:pPr>
        <w:spacing w:line="460" w:lineRule="exact"/>
        <w:contextualSpacing/>
      </w:pPr>
      <w:r>
        <w:t>不断改进目标考核评估方法，把目标考核作为推进通信基础设施建设工作的重要保障措施。研究制订通信企业绩效评价指标体系，加强对涉及国计民生的通信基础设施安全考核，评选表彰通信基础设施建设先进企业。切实通过加强绩效考核工作，促进通信基础设施建设责任与权利紧密结合，建立健全通信基础设施建设激励约束机制</w:t>
      </w:r>
      <w:r>
        <w:rPr>
          <w:rFonts w:hint="eastAsia"/>
        </w:rPr>
        <w:t>。</w:t>
      </w:r>
    </w:p>
    <w:sectPr>
      <w:footerReference r:id="rId11" w:type="default"/>
      <w:headerReference r:id="rId10" w:type="even"/>
      <w:pgSz w:w="23814" w:h="16839" w:orient="landscape"/>
      <w:pgMar w:top="1287" w:right="1440" w:bottom="1019" w:left="1440" w:header="851" w:footer="992" w:gutter="0"/>
      <w:pgNumType w:start="1"/>
      <w:cols w:space="425" w:num="2"/>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 w:val="24"/>
        <w:szCs w:val="24"/>
      </w:rPr>
    </w:pPr>
    <w:r>
      <w:rPr>
        <w:rFonts w:hint="eastAsia"/>
        <w:sz w:val="24"/>
        <w:szCs w:val="24"/>
      </w:rPr>
      <w:t>第</w:t>
    </w: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r>
      <w:rPr>
        <w:rFonts w:hint="eastAsia"/>
        <w:sz w:val="24"/>
        <w:szCs w:val="24"/>
      </w:rPr>
      <w:t>页 共2</w:t>
    </w:r>
    <w:r>
      <w:rPr>
        <w:rFonts w:hint="eastAsia"/>
        <w:sz w:val="24"/>
        <w:szCs w:val="24"/>
        <w:lang w:val="en-US" w:eastAsia="zh-CN"/>
      </w:rPr>
      <w:t>2</w:t>
    </w:r>
    <w:r>
      <w:rPr>
        <w:rFonts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spacing w:after="240"/>
      <w:jc w:val="right"/>
    </w:pPr>
    <w:r>
      <w:ptab w:relativeTo="margin" w:alignment="center" w:leader="none"/>
    </w:r>
    <w:r>
      <w:rPr>
        <w:rFonts w:hint="eastAsia"/>
      </w:rPr>
      <w:t>铜梁区</w:t>
    </w:r>
    <w:r>
      <w:rPr>
        <w:rFonts w:hint="eastAsia"/>
        <w:lang w:val="en-US" w:eastAsia="zh-CN"/>
      </w:rPr>
      <w:t>5G</w:t>
    </w:r>
    <w:r>
      <w:rPr>
        <w:rFonts w:hint="eastAsia"/>
      </w:rPr>
      <w:t>通信</w:t>
    </w:r>
    <w:r>
      <w:rPr>
        <w:rFonts w:hint="eastAsia"/>
        <w:lang w:val="en-US" w:eastAsia="zh-CN"/>
      </w:rPr>
      <w:t>设施专项</w:t>
    </w:r>
    <w:r>
      <w:rPr>
        <w:rFonts w:hint="eastAsia"/>
      </w:rPr>
      <w:t xml:space="preserve">规划-说明 </w:t>
    </w:r>
    <w:r>
      <w:ptab w:relativeTo="margin" w:alignment="right" w:leader="none"/>
    </w:r>
    <w:r>
      <w:t xml:space="preserve">               </w:t>
    </w:r>
    <w:r>
      <w:rPr>
        <w:rFonts w:hint="eastAsia"/>
      </w:rPr>
      <w:t>中国铁塔股份有限公司合川分公司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after="2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39997"/>
    <w:multiLevelType w:val="singleLevel"/>
    <w:tmpl w:val="87F39997"/>
    <w:lvl w:ilvl="0" w:tentative="0">
      <w:start w:val="1"/>
      <w:numFmt w:val="decimal"/>
      <w:suff w:val="nothing"/>
      <w:lvlText w:val="（%1）"/>
      <w:lvlJc w:val="left"/>
    </w:lvl>
  </w:abstractNum>
  <w:abstractNum w:abstractNumId="1">
    <w:nsid w:val="8B6474C9"/>
    <w:multiLevelType w:val="singleLevel"/>
    <w:tmpl w:val="8B6474C9"/>
    <w:lvl w:ilvl="0" w:tentative="0">
      <w:start w:val="1"/>
      <w:numFmt w:val="decimal"/>
      <w:suff w:val="nothing"/>
      <w:lvlText w:val="（%1）"/>
      <w:lvlJc w:val="left"/>
    </w:lvl>
  </w:abstractNum>
  <w:abstractNum w:abstractNumId="2">
    <w:nsid w:val="8CAC2463"/>
    <w:multiLevelType w:val="singleLevel"/>
    <w:tmpl w:val="8CAC2463"/>
    <w:lvl w:ilvl="0" w:tentative="0">
      <w:start w:val="1"/>
      <w:numFmt w:val="decimal"/>
      <w:suff w:val="nothing"/>
      <w:lvlText w:val="（%1）"/>
      <w:lvlJc w:val="left"/>
    </w:lvl>
  </w:abstractNum>
  <w:abstractNum w:abstractNumId="3">
    <w:nsid w:val="97D3B3C1"/>
    <w:multiLevelType w:val="multilevel"/>
    <w:tmpl w:val="97D3B3C1"/>
    <w:lvl w:ilvl="0" w:tentative="0">
      <w:start w:val="1"/>
      <w:numFmt w:val="decimal"/>
      <w:suff w:val="nothing"/>
      <w:lvlText w:val="（%1）"/>
      <w:lvlJc w:val="left"/>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9EBF0736"/>
    <w:multiLevelType w:val="singleLevel"/>
    <w:tmpl w:val="9EBF0736"/>
    <w:lvl w:ilvl="0" w:tentative="0">
      <w:start w:val="1"/>
      <w:numFmt w:val="decimal"/>
      <w:suff w:val="nothing"/>
      <w:lvlText w:val="（%1）"/>
      <w:lvlJc w:val="left"/>
    </w:lvl>
  </w:abstractNum>
  <w:abstractNum w:abstractNumId="5">
    <w:nsid w:val="AF33E894"/>
    <w:multiLevelType w:val="singleLevel"/>
    <w:tmpl w:val="AF33E894"/>
    <w:lvl w:ilvl="0" w:tentative="0">
      <w:start w:val="1"/>
      <w:numFmt w:val="bullet"/>
      <w:lvlText w:val=""/>
      <w:lvlJc w:val="left"/>
      <w:pPr>
        <w:ind w:left="420" w:hanging="420"/>
      </w:pPr>
      <w:rPr>
        <w:rFonts w:hint="default" w:ascii="Wingdings" w:hAnsi="Wingdings"/>
      </w:rPr>
    </w:lvl>
  </w:abstractNum>
  <w:abstractNum w:abstractNumId="6">
    <w:nsid w:val="C40EF580"/>
    <w:multiLevelType w:val="singleLevel"/>
    <w:tmpl w:val="C40EF580"/>
    <w:lvl w:ilvl="0" w:tentative="0">
      <w:start w:val="1"/>
      <w:numFmt w:val="decimal"/>
      <w:suff w:val="nothing"/>
      <w:lvlText w:val="（%1）"/>
      <w:lvlJc w:val="left"/>
    </w:lvl>
  </w:abstractNum>
  <w:abstractNum w:abstractNumId="7">
    <w:nsid w:val="C897EF9B"/>
    <w:multiLevelType w:val="singleLevel"/>
    <w:tmpl w:val="C897EF9B"/>
    <w:lvl w:ilvl="0" w:tentative="0">
      <w:start w:val="1"/>
      <w:numFmt w:val="decimal"/>
      <w:suff w:val="nothing"/>
      <w:lvlText w:val="（%1）"/>
      <w:lvlJc w:val="left"/>
    </w:lvl>
  </w:abstractNum>
  <w:abstractNum w:abstractNumId="8">
    <w:nsid w:val="CAECD9E7"/>
    <w:multiLevelType w:val="singleLevel"/>
    <w:tmpl w:val="CAECD9E7"/>
    <w:lvl w:ilvl="0" w:tentative="0">
      <w:start w:val="1"/>
      <w:numFmt w:val="bullet"/>
      <w:lvlText w:val=""/>
      <w:lvlJc w:val="left"/>
      <w:pPr>
        <w:ind w:left="420" w:hanging="420"/>
      </w:pPr>
      <w:rPr>
        <w:rFonts w:hint="default" w:ascii="Wingdings" w:hAnsi="Wingdings"/>
      </w:rPr>
    </w:lvl>
  </w:abstractNum>
  <w:abstractNum w:abstractNumId="9">
    <w:nsid w:val="D8D9E56E"/>
    <w:multiLevelType w:val="singleLevel"/>
    <w:tmpl w:val="D8D9E56E"/>
    <w:lvl w:ilvl="0" w:tentative="0">
      <w:start w:val="1"/>
      <w:numFmt w:val="bullet"/>
      <w:lvlText w:val=""/>
      <w:lvlJc w:val="left"/>
      <w:pPr>
        <w:ind w:left="420" w:hanging="420"/>
      </w:pPr>
      <w:rPr>
        <w:rFonts w:hint="default" w:ascii="Wingdings" w:hAnsi="Wingdings"/>
      </w:rPr>
    </w:lvl>
  </w:abstractNum>
  <w:abstractNum w:abstractNumId="10">
    <w:nsid w:val="D8DADE5A"/>
    <w:multiLevelType w:val="singleLevel"/>
    <w:tmpl w:val="D8DADE5A"/>
    <w:lvl w:ilvl="0" w:tentative="0">
      <w:start w:val="1"/>
      <w:numFmt w:val="decimal"/>
      <w:suff w:val="nothing"/>
      <w:lvlText w:val="（%1）"/>
      <w:lvlJc w:val="left"/>
    </w:lvl>
  </w:abstractNum>
  <w:abstractNum w:abstractNumId="11">
    <w:nsid w:val="EF66EF71"/>
    <w:multiLevelType w:val="singleLevel"/>
    <w:tmpl w:val="EF66EF71"/>
    <w:lvl w:ilvl="0" w:tentative="0">
      <w:start w:val="1"/>
      <w:numFmt w:val="decimal"/>
      <w:suff w:val="nothing"/>
      <w:lvlText w:val="（%1）"/>
      <w:lvlJc w:val="left"/>
    </w:lvl>
  </w:abstractNum>
  <w:abstractNum w:abstractNumId="12">
    <w:nsid w:val="F1F910CC"/>
    <w:multiLevelType w:val="singleLevel"/>
    <w:tmpl w:val="F1F910CC"/>
    <w:lvl w:ilvl="0" w:tentative="0">
      <w:start w:val="1"/>
      <w:numFmt w:val="decimal"/>
      <w:suff w:val="nothing"/>
      <w:lvlText w:val="（%1）"/>
      <w:lvlJc w:val="left"/>
    </w:lvl>
  </w:abstractNum>
  <w:abstractNum w:abstractNumId="13">
    <w:nsid w:val="039E820B"/>
    <w:multiLevelType w:val="singleLevel"/>
    <w:tmpl w:val="039E820B"/>
    <w:lvl w:ilvl="0" w:tentative="0">
      <w:start w:val="1"/>
      <w:numFmt w:val="decimal"/>
      <w:suff w:val="nothing"/>
      <w:lvlText w:val="（%1）"/>
      <w:lvlJc w:val="left"/>
    </w:lvl>
  </w:abstractNum>
  <w:abstractNum w:abstractNumId="14">
    <w:nsid w:val="04CC2927"/>
    <w:multiLevelType w:val="multilevel"/>
    <w:tmpl w:val="04CC2927"/>
    <w:lvl w:ilvl="0" w:tentative="0">
      <w:start w:val="1"/>
      <w:numFmt w:val="decimal"/>
      <w:pStyle w:val="32"/>
      <w:lvlText w:val="(%1)"/>
      <w:lvlJc w:val="left"/>
      <w:pPr>
        <w:tabs>
          <w:tab w:val="left" w:pos="200"/>
        </w:tabs>
        <w:ind w:left="0" w:firstLine="482"/>
      </w:pPr>
      <w:rPr>
        <w:rFonts w:hint="default" w:ascii="Times New Roman" w:hAnsi="Times New Roman" w:eastAsia="宋体"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6ED5D7C"/>
    <w:multiLevelType w:val="multilevel"/>
    <w:tmpl w:val="06ED5D7C"/>
    <w:lvl w:ilvl="0" w:tentative="0">
      <w:start w:val="9"/>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0A79E789"/>
    <w:multiLevelType w:val="singleLevel"/>
    <w:tmpl w:val="0A79E789"/>
    <w:lvl w:ilvl="0" w:tentative="0">
      <w:start w:val="1"/>
      <w:numFmt w:val="decimal"/>
      <w:suff w:val="nothing"/>
      <w:lvlText w:val="（%1）"/>
      <w:lvlJc w:val="left"/>
    </w:lvl>
  </w:abstractNum>
  <w:abstractNum w:abstractNumId="17">
    <w:nsid w:val="0E2A218B"/>
    <w:multiLevelType w:val="multilevel"/>
    <w:tmpl w:val="0E2A21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54A3E14"/>
    <w:multiLevelType w:val="singleLevel"/>
    <w:tmpl w:val="154A3E14"/>
    <w:lvl w:ilvl="0" w:tentative="0">
      <w:start w:val="1"/>
      <w:numFmt w:val="decimal"/>
      <w:suff w:val="nothing"/>
      <w:lvlText w:val="（%1）"/>
      <w:lvlJc w:val="left"/>
    </w:lvl>
  </w:abstractNum>
  <w:abstractNum w:abstractNumId="19">
    <w:nsid w:val="16E6732E"/>
    <w:multiLevelType w:val="singleLevel"/>
    <w:tmpl w:val="16E6732E"/>
    <w:lvl w:ilvl="0" w:tentative="0">
      <w:start w:val="1"/>
      <w:numFmt w:val="decimal"/>
      <w:suff w:val="nothing"/>
      <w:lvlText w:val="（%1）"/>
      <w:lvlJc w:val="left"/>
    </w:lvl>
  </w:abstractNum>
  <w:abstractNum w:abstractNumId="20">
    <w:nsid w:val="24C307E4"/>
    <w:multiLevelType w:val="multilevel"/>
    <w:tmpl w:val="24C307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7854C38"/>
    <w:multiLevelType w:val="multilevel"/>
    <w:tmpl w:val="27854C38"/>
    <w:lvl w:ilvl="0" w:tentative="0">
      <w:start w:val="7"/>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2">
    <w:nsid w:val="2E8D12B7"/>
    <w:multiLevelType w:val="multilevel"/>
    <w:tmpl w:val="2E8D12B7"/>
    <w:lvl w:ilvl="0" w:tentative="0">
      <w:start w:val="8"/>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3">
    <w:nsid w:val="2EBB67F5"/>
    <w:multiLevelType w:val="multilevel"/>
    <w:tmpl w:val="2EBB67F5"/>
    <w:lvl w:ilvl="0" w:tentative="0">
      <w:start w:val="6"/>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4">
    <w:nsid w:val="3321265A"/>
    <w:multiLevelType w:val="multilevel"/>
    <w:tmpl w:val="3321265A"/>
    <w:lvl w:ilvl="0" w:tentative="0">
      <w:start w:val="1"/>
      <w:numFmt w:val="decimal"/>
      <w:pStyle w:val="37"/>
      <w:lvlText w:val="(%1)"/>
      <w:lvlJc w:val="left"/>
      <w:pPr>
        <w:tabs>
          <w:tab w:val="left" w:pos="0"/>
        </w:tabs>
        <w:ind w:left="0" w:firstLine="482"/>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5">
    <w:nsid w:val="372C54A4"/>
    <w:multiLevelType w:val="multilevel"/>
    <w:tmpl w:val="372C54A4"/>
    <w:lvl w:ilvl="0" w:tentative="0">
      <w:start w:val="1"/>
      <w:numFmt w:val="chineseCountingThousand"/>
      <w:pStyle w:val="2"/>
      <w:lvlText w:val="%1."/>
      <w:lvlJc w:val="left"/>
      <w:pPr>
        <w:tabs>
          <w:tab w:val="left" w:pos="360"/>
        </w:tabs>
        <w:ind w:left="0" w:firstLine="0"/>
      </w:pPr>
      <w:rPr>
        <w:rFonts w:hint="eastAsia"/>
      </w:rPr>
    </w:lvl>
    <w:lvl w:ilvl="1" w:tentative="0">
      <w:start w:val="1"/>
      <w:numFmt w:val="decimal"/>
      <w:pStyle w:val="3"/>
      <w:lvlText w:val="%2."/>
      <w:lvlJc w:val="left"/>
      <w:pPr>
        <w:tabs>
          <w:tab w:val="left" w:pos="360"/>
        </w:tabs>
        <w:ind w:left="0" w:firstLine="0"/>
      </w:pPr>
      <w:rPr>
        <w:rFonts w:hint="eastAsia"/>
      </w:rPr>
    </w:lvl>
    <w:lvl w:ilvl="2" w:tentative="0">
      <w:start w:val="1"/>
      <w:numFmt w:val="decimal"/>
      <w:pStyle w:val="4"/>
      <w:lvlText w:val="%2.%3."/>
      <w:lvlJc w:val="left"/>
      <w:pPr>
        <w:tabs>
          <w:tab w:val="left" w:pos="72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5"/>
      <w:lvlText w:val="%2.%3.%4."/>
      <w:lvlJc w:val="left"/>
      <w:pPr>
        <w:tabs>
          <w:tab w:val="left" w:pos="1080"/>
        </w:tabs>
        <w:ind w:left="0" w:firstLine="0"/>
      </w:pPr>
      <w:rPr>
        <w:rFonts w:hint="eastAsia"/>
      </w:rPr>
    </w:lvl>
    <w:lvl w:ilvl="4" w:tentative="0">
      <w:start w:val="1"/>
      <w:numFmt w:val="decimal"/>
      <w:pStyle w:val="6"/>
      <w:lvlText w:val="%2.%3.%4.%5."/>
      <w:lvlJc w:val="left"/>
      <w:pPr>
        <w:tabs>
          <w:tab w:val="left" w:pos="1440"/>
        </w:tabs>
        <w:ind w:left="0" w:firstLine="0"/>
      </w:pPr>
      <w:rPr>
        <w:rFonts w:hint="eastAsia"/>
      </w:rPr>
    </w:lvl>
    <w:lvl w:ilvl="5" w:tentative="0">
      <w:start w:val="1"/>
      <w:numFmt w:val="decimal"/>
      <w:pStyle w:val="7"/>
      <w:lvlText w:val="%2.%3.%4.%5.%6."/>
      <w:lvlJc w:val="left"/>
      <w:pPr>
        <w:tabs>
          <w:tab w:val="left" w:pos="1440"/>
        </w:tabs>
        <w:ind w:left="0" w:firstLine="0"/>
      </w:pPr>
      <w:rPr>
        <w:rFonts w:hint="eastAsia"/>
      </w:rPr>
    </w:lvl>
    <w:lvl w:ilvl="6" w:tentative="0">
      <w:start w:val="1"/>
      <w:numFmt w:val="decimal"/>
      <w:pStyle w:val="8"/>
      <w:lvlText w:val="%2.%3.%4.%5.%6.%7."/>
      <w:lvlJc w:val="left"/>
      <w:pPr>
        <w:tabs>
          <w:tab w:val="left" w:pos="1800"/>
        </w:tabs>
        <w:ind w:left="0" w:firstLine="0"/>
      </w:pPr>
      <w:rPr>
        <w:rFonts w:hint="eastAsia"/>
      </w:rPr>
    </w:lvl>
    <w:lvl w:ilvl="7" w:tentative="0">
      <w:start w:val="1"/>
      <w:numFmt w:val="decimal"/>
      <w:lvlRestart w:val="1"/>
      <w:pStyle w:val="9"/>
      <w:isLgl/>
      <w:lvlText w:val="表%1.%2.%3-%8"/>
      <w:lvlJc w:val="left"/>
      <w:pPr>
        <w:tabs>
          <w:tab w:val="left" w:pos="5415"/>
        </w:tabs>
        <w:ind w:left="3255" w:firstLine="0"/>
      </w:pPr>
      <w:rPr>
        <w:rFonts w:hint="eastAsia"/>
      </w:rPr>
    </w:lvl>
    <w:lvl w:ilvl="8" w:tentative="0">
      <w:start w:val="1"/>
      <w:numFmt w:val="decimal"/>
      <w:lvlRestart w:val="1"/>
      <w:pStyle w:val="10"/>
      <w:isLgl/>
      <w:lvlText w:val="图%1.%2.%3-%9"/>
      <w:lvlJc w:val="left"/>
      <w:pPr>
        <w:tabs>
          <w:tab w:val="left" w:pos="2520"/>
        </w:tabs>
        <w:ind w:left="0" w:firstLine="0"/>
      </w:pPr>
      <w:rPr>
        <w:rFonts w:hint="eastAsia"/>
      </w:rPr>
    </w:lvl>
  </w:abstractNum>
  <w:abstractNum w:abstractNumId="26">
    <w:nsid w:val="3B0D17B4"/>
    <w:multiLevelType w:val="multilevel"/>
    <w:tmpl w:val="3B0D17B4"/>
    <w:lvl w:ilvl="0" w:tentative="0">
      <w:start w:val="1"/>
      <w:numFmt w:val="lowerLetter"/>
      <w:pStyle w:val="40"/>
      <w:lvlText w:val="(%1)"/>
      <w:lvlJc w:val="left"/>
      <w:pPr>
        <w:tabs>
          <w:tab w:val="left" w:pos="0"/>
        </w:tabs>
        <w:ind w:left="0" w:firstLine="482"/>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7">
    <w:nsid w:val="3BB96958"/>
    <w:multiLevelType w:val="multilevel"/>
    <w:tmpl w:val="3BB96958"/>
    <w:lvl w:ilvl="0" w:tentative="0">
      <w:start w:val="3"/>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8">
    <w:nsid w:val="44D606AF"/>
    <w:multiLevelType w:val="multilevel"/>
    <w:tmpl w:val="44D606AF"/>
    <w:lvl w:ilvl="0" w:tentative="0">
      <w:start w:val="1"/>
      <w:numFmt w:val="decimal"/>
      <w:lvlText w:val="（%1）"/>
      <w:lvlJc w:val="left"/>
      <w:pPr>
        <w:ind w:left="1200" w:hanging="720"/>
      </w:pPr>
      <w:rPr>
        <w:rFonts w:hint="default"/>
      </w:rPr>
    </w:lvl>
    <w:lvl w:ilvl="1" w:tentative="0">
      <w:start w:val="1"/>
      <w:numFmt w:val="decimalEnclosedCircle"/>
      <w:lvlText w:val="%2"/>
      <w:lvlJc w:val="left"/>
      <w:pPr>
        <w:ind w:left="1260" w:hanging="360"/>
      </w:pPr>
      <w:rPr>
        <w:rFonts w:hint="default"/>
      </w:rPr>
    </w:lvl>
    <w:lvl w:ilvl="2" w:tentative="0">
      <w:start w:val="1"/>
      <w:numFmt w:val="decimal"/>
      <w:lvlText w:val="%3."/>
      <w:lvlJc w:val="left"/>
      <w:pPr>
        <w:ind w:left="1680" w:hanging="36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4C851548"/>
    <w:multiLevelType w:val="singleLevel"/>
    <w:tmpl w:val="4C851548"/>
    <w:lvl w:ilvl="0" w:tentative="0">
      <w:start w:val="1"/>
      <w:numFmt w:val="decimal"/>
      <w:suff w:val="nothing"/>
      <w:lvlText w:val="（%1）"/>
      <w:lvlJc w:val="left"/>
    </w:lvl>
  </w:abstractNum>
  <w:abstractNum w:abstractNumId="30">
    <w:nsid w:val="576510F2"/>
    <w:multiLevelType w:val="multilevel"/>
    <w:tmpl w:val="576510F2"/>
    <w:lvl w:ilvl="0" w:tentative="0">
      <w:start w:val="4"/>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1">
    <w:nsid w:val="57EE7903"/>
    <w:multiLevelType w:val="singleLevel"/>
    <w:tmpl w:val="57EE7903"/>
    <w:lvl w:ilvl="0" w:tentative="0">
      <w:start w:val="1"/>
      <w:numFmt w:val="decimal"/>
      <w:suff w:val="nothing"/>
      <w:lvlText w:val="（%1）"/>
      <w:lvlJc w:val="left"/>
    </w:lvl>
  </w:abstractNum>
  <w:abstractNum w:abstractNumId="32">
    <w:nsid w:val="612353B0"/>
    <w:multiLevelType w:val="multilevel"/>
    <w:tmpl w:val="612353B0"/>
    <w:lvl w:ilvl="0" w:tentative="0">
      <w:start w:val="1"/>
      <w:numFmt w:val="upperLetter"/>
      <w:pStyle w:val="39"/>
      <w:lvlText w:val="(%1)"/>
      <w:lvlJc w:val="left"/>
      <w:pPr>
        <w:tabs>
          <w:tab w:val="left" w:pos="0"/>
        </w:tabs>
        <w:ind w:left="0" w:firstLine="482"/>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3">
    <w:nsid w:val="64FC6707"/>
    <w:multiLevelType w:val="multilevel"/>
    <w:tmpl w:val="64FC6707"/>
    <w:lvl w:ilvl="0" w:tentative="0">
      <w:start w:val="5"/>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4">
    <w:nsid w:val="6F6126C7"/>
    <w:multiLevelType w:val="multilevel"/>
    <w:tmpl w:val="6F6126C7"/>
    <w:lvl w:ilvl="0" w:tentative="0">
      <w:start w:val="2"/>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5">
    <w:nsid w:val="70993EE3"/>
    <w:multiLevelType w:val="singleLevel"/>
    <w:tmpl w:val="70993EE3"/>
    <w:lvl w:ilvl="0" w:tentative="0">
      <w:start w:val="1"/>
      <w:numFmt w:val="decimal"/>
      <w:suff w:val="nothing"/>
      <w:lvlText w:val="（%1）"/>
      <w:lvlJc w:val="left"/>
    </w:lvl>
  </w:abstractNum>
  <w:abstractNum w:abstractNumId="36">
    <w:nsid w:val="756FAFA0"/>
    <w:multiLevelType w:val="singleLevel"/>
    <w:tmpl w:val="756FAFA0"/>
    <w:lvl w:ilvl="0" w:tentative="0">
      <w:start w:val="1"/>
      <w:numFmt w:val="decimal"/>
      <w:suff w:val="nothing"/>
      <w:lvlText w:val="（%1）"/>
      <w:lvlJc w:val="left"/>
    </w:lvl>
  </w:abstractNum>
  <w:abstractNum w:abstractNumId="37">
    <w:nsid w:val="76642602"/>
    <w:multiLevelType w:val="multilevel"/>
    <w:tmpl w:val="76642602"/>
    <w:lvl w:ilvl="0" w:tentative="0">
      <w:start w:val="1"/>
      <w:numFmt w:val="decimal"/>
      <w:pStyle w:val="61"/>
      <w:lvlText w:val="%1."/>
      <w:lvlJc w:val="left"/>
      <w:pPr>
        <w:ind w:left="988"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7D3975F6"/>
    <w:multiLevelType w:val="singleLevel"/>
    <w:tmpl w:val="7D3975F6"/>
    <w:lvl w:ilvl="0" w:tentative="0">
      <w:start w:val="1"/>
      <w:numFmt w:val="decimal"/>
      <w:suff w:val="nothing"/>
      <w:lvlText w:val="（%1）"/>
      <w:lvlJc w:val="left"/>
    </w:lvl>
  </w:abstractNum>
  <w:abstractNum w:abstractNumId="39">
    <w:nsid w:val="7D901D18"/>
    <w:multiLevelType w:val="singleLevel"/>
    <w:tmpl w:val="7D901D18"/>
    <w:lvl w:ilvl="0" w:tentative="0">
      <w:start w:val="1"/>
      <w:numFmt w:val="decimal"/>
      <w:suff w:val="nothing"/>
      <w:lvlText w:val="（%1）"/>
      <w:lvlJc w:val="left"/>
    </w:lvl>
  </w:abstractNum>
  <w:num w:numId="1">
    <w:abstractNumId w:val="25"/>
  </w:num>
  <w:num w:numId="2">
    <w:abstractNumId w:val="14"/>
  </w:num>
  <w:num w:numId="3">
    <w:abstractNumId w:val="24"/>
  </w:num>
  <w:num w:numId="4">
    <w:abstractNumId w:val="32"/>
  </w:num>
  <w:num w:numId="5">
    <w:abstractNumId w:val="26"/>
  </w:num>
  <w:num w:numId="6">
    <w:abstractNumId w:val="37"/>
  </w:num>
  <w:num w:numId="7">
    <w:abstractNumId w:val="34"/>
  </w:num>
  <w:num w:numId="8">
    <w:abstractNumId w:val="31"/>
  </w:num>
  <w:num w:numId="9">
    <w:abstractNumId w:val="7"/>
  </w:num>
  <w:num w:numId="10">
    <w:abstractNumId w:val="11"/>
  </w:num>
  <w:num w:numId="11">
    <w:abstractNumId w:val="19"/>
  </w:num>
  <w:num w:numId="12">
    <w:abstractNumId w:val="4"/>
  </w:num>
  <w:num w:numId="13">
    <w:abstractNumId w:val="27"/>
  </w:num>
  <w:num w:numId="14">
    <w:abstractNumId w:val="3"/>
  </w:num>
  <w:num w:numId="15">
    <w:abstractNumId w:val="13"/>
  </w:num>
  <w:num w:numId="16">
    <w:abstractNumId w:val="8"/>
  </w:num>
  <w:num w:numId="17">
    <w:abstractNumId w:val="9"/>
  </w:num>
  <w:num w:numId="18">
    <w:abstractNumId w:val="5"/>
  </w:num>
  <w:num w:numId="19">
    <w:abstractNumId w:val="30"/>
  </w:num>
  <w:num w:numId="20">
    <w:abstractNumId w:val="38"/>
  </w:num>
  <w:num w:numId="21">
    <w:abstractNumId w:val="12"/>
  </w:num>
  <w:num w:numId="22">
    <w:abstractNumId w:val="0"/>
  </w:num>
  <w:num w:numId="23">
    <w:abstractNumId w:val="35"/>
  </w:num>
  <w:num w:numId="24">
    <w:abstractNumId w:val="16"/>
  </w:num>
  <w:num w:numId="25">
    <w:abstractNumId w:val="33"/>
  </w:num>
  <w:num w:numId="26">
    <w:abstractNumId w:val="2"/>
  </w:num>
  <w:num w:numId="27">
    <w:abstractNumId w:val="28"/>
  </w:num>
  <w:num w:numId="28">
    <w:abstractNumId w:val="23"/>
  </w:num>
  <w:num w:numId="29">
    <w:abstractNumId w:val="1"/>
  </w:num>
  <w:num w:numId="30">
    <w:abstractNumId w:val="6"/>
  </w:num>
  <w:num w:numId="31">
    <w:abstractNumId w:val="18"/>
  </w:num>
  <w:num w:numId="32">
    <w:abstractNumId w:val="36"/>
  </w:num>
  <w:num w:numId="33">
    <w:abstractNumId w:val="20"/>
  </w:num>
  <w:num w:numId="34">
    <w:abstractNumId w:val="39"/>
  </w:num>
  <w:num w:numId="35">
    <w:abstractNumId w:val="17"/>
  </w:num>
  <w:num w:numId="36">
    <w:abstractNumId w:val="29"/>
  </w:num>
  <w:num w:numId="37">
    <w:abstractNumId w:val="10"/>
  </w:num>
  <w:num w:numId="38">
    <w:abstractNumId w:val="21"/>
  </w:num>
  <w:num w:numId="39">
    <w:abstractNumId w:val="2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B0"/>
    <w:rsid w:val="00002B28"/>
    <w:rsid w:val="00002FC7"/>
    <w:rsid w:val="00003E55"/>
    <w:rsid w:val="000042A3"/>
    <w:rsid w:val="000051A4"/>
    <w:rsid w:val="00006255"/>
    <w:rsid w:val="00010139"/>
    <w:rsid w:val="000112BD"/>
    <w:rsid w:val="00011314"/>
    <w:rsid w:val="000121FC"/>
    <w:rsid w:val="000130D5"/>
    <w:rsid w:val="00014F8C"/>
    <w:rsid w:val="000151C8"/>
    <w:rsid w:val="00017DFF"/>
    <w:rsid w:val="000212F0"/>
    <w:rsid w:val="00024831"/>
    <w:rsid w:val="00024839"/>
    <w:rsid w:val="00024B19"/>
    <w:rsid w:val="00024FA6"/>
    <w:rsid w:val="00030B25"/>
    <w:rsid w:val="00032F7A"/>
    <w:rsid w:val="0003373A"/>
    <w:rsid w:val="00035AEB"/>
    <w:rsid w:val="0003630F"/>
    <w:rsid w:val="00037B90"/>
    <w:rsid w:val="00037D63"/>
    <w:rsid w:val="00040F18"/>
    <w:rsid w:val="00041B24"/>
    <w:rsid w:val="0004410A"/>
    <w:rsid w:val="00046AF2"/>
    <w:rsid w:val="000472BE"/>
    <w:rsid w:val="00050812"/>
    <w:rsid w:val="000512A1"/>
    <w:rsid w:val="00051A40"/>
    <w:rsid w:val="000533FD"/>
    <w:rsid w:val="00053B20"/>
    <w:rsid w:val="000552A8"/>
    <w:rsid w:val="0006152F"/>
    <w:rsid w:val="00061F67"/>
    <w:rsid w:val="000701D1"/>
    <w:rsid w:val="000701D5"/>
    <w:rsid w:val="00073811"/>
    <w:rsid w:val="000746CC"/>
    <w:rsid w:val="000826E6"/>
    <w:rsid w:val="00084C16"/>
    <w:rsid w:val="00084FA5"/>
    <w:rsid w:val="00086A32"/>
    <w:rsid w:val="00086DA6"/>
    <w:rsid w:val="0008790C"/>
    <w:rsid w:val="0009009B"/>
    <w:rsid w:val="000900F8"/>
    <w:rsid w:val="00090F2B"/>
    <w:rsid w:val="00091413"/>
    <w:rsid w:val="00091544"/>
    <w:rsid w:val="0009412F"/>
    <w:rsid w:val="00097B3F"/>
    <w:rsid w:val="00097D9E"/>
    <w:rsid w:val="000A0734"/>
    <w:rsid w:val="000A14E7"/>
    <w:rsid w:val="000A178D"/>
    <w:rsid w:val="000A44B2"/>
    <w:rsid w:val="000A527D"/>
    <w:rsid w:val="000A5855"/>
    <w:rsid w:val="000A587B"/>
    <w:rsid w:val="000A6B30"/>
    <w:rsid w:val="000A708B"/>
    <w:rsid w:val="000A7D27"/>
    <w:rsid w:val="000B127A"/>
    <w:rsid w:val="000B2FE3"/>
    <w:rsid w:val="000B3351"/>
    <w:rsid w:val="000B42EB"/>
    <w:rsid w:val="000B4956"/>
    <w:rsid w:val="000B60CE"/>
    <w:rsid w:val="000B7327"/>
    <w:rsid w:val="000C2062"/>
    <w:rsid w:val="000C20F5"/>
    <w:rsid w:val="000C35D9"/>
    <w:rsid w:val="000C393C"/>
    <w:rsid w:val="000C44C3"/>
    <w:rsid w:val="000C455C"/>
    <w:rsid w:val="000C5062"/>
    <w:rsid w:val="000C5337"/>
    <w:rsid w:val="000C556B"/>
    <w:rsid w:val="000C6870"/>
    <w:rsid w:val="000C6D8E"/>
    <w:rsid w:val="000C721E"/>
    <w:rsid w:val="000D0A1F"/>
    <w:rsid w:val="000D0FD4"/>
    <w:rsid w:val="000D1381"/>
    <w:rsid w:val="000D162E"/>
    <w:rsid w:val="000D2A69"/>
    <w:rsid w:val="000D38E2"/>
    <w:rsid w:val="000D4061"/>
    <w:rsid w:val="000D42A8"/>
    <w:rsid w:val="000D5779"/>
    <w:rsid w:val="000D7506"/>
    <w:rsid w:val="000D763D"/>
    <w:rsid w:val="000D76CF"/>
    <w:rsid w:val="000D7B78"/>
    <w:rsid w:val="000E0F32"/>
    <w:rsid w:val="000E2022"/>
    <w:rsid w:val="000E2624"/>
    <w:rsid w:val="000E3236"/>
    <w:rsid w:val="000E39BF"/>
    <w:rsid w:val="000E557C"/>
    <w:rsid w:val="000E6615"/>
    <w:rsid w:val="000E6893"/>
    <w:rsid w:val="000E6ADF"/>
    <w:rsid w:val="000F01A3"/>
    <w:rsid w:val="000F0512"/>
    <w:rsid w:val="000F087F"/>
    <w:rsid w:val="000F1182"/>
    <w:rsid w:val="000F5955"/>
    <w:rsid w:val="000F617C"/>
    <w:rsid w:val="00101978"/>
    <w:rsid w:val="00102D26"/>
    <w:rsid w:val="00106AE9"/>
    <w:rsid w:val="00106D1A"/>
    <w:rsid w:val="00107442"/>
    <w:rsid w:val="001077E6"/>
    <w:rsid w:val="00111549"/>
    <w:rsid w:val="00111572"/>
    <w:rsid w:val="0011254E"/>
    <w:rsid w:val="001146B8"/>
    <w:rsid w:val="001147ED"/>
    <w:rsid w:val="00116604"/>
    <w:rsid w:val="00116EAB"/>
    <w:rsid w:val="001326FD"/>
    <w:rsid w:val="00132A09"/>
    <w:rsid w:val="00133174"/>
    <w:rsid w:val="00133FEF"/>
    <w:rsid w:val="001341C1"/>
    <w:rsid w:val="00134E5C"/>
    <w:rsid w:val="00135D63"/>
    <w:rsid w:val="00136CB5"/>
    <w:rsid w:val="001406EC"/>
    <w:rsid w:val="0014083F"/>
    <w:rsid w:val="00142749"/>
    <w:rsid w:val="00142D66"/>
    <w:rsid w:val="00142E3D"/>
    <w:rsid w:val="00142EC3"/>
    <w:rsid w:val="00143CCC"/>
    <w:rsid w:val="00144E9C"/>
    <w:rsid w:val="00145571"/>
    <w:rsid w:val="00145CD4"/>
    <w:rsid w:val="00147A82"/>
    <w:rsid w:val="00147FD6"/>
    <w:rsid w:val="00151693"/>
    <w:rsid w:val="00152D49"/>
    <w:rsid w:val="0015357F"/>
    <w:rsid w:val="00153EC9"/>
    <w:rsid w:val="00154530"/>
    <w:rsid w:val="00154C72"/>
    <w:rsid w:val="00156B5F"/>
    <w:rsid w:val="001578A4"/>
    <w:rsid w:val="00161384"/>
    <w:rsid w:val="00162870"/>
    <w:rsid w:val="00165D1F"/>
    <w:rsid w:val="00166B11"/>
    <w:rsid w:val="0016726C"/>
    <w:rsid w:val="00167AF2"/>
    <w:rsid w:val="00167EBE"/>
    <w:rsid w:val="001730EF"/>
    <w:rsid w:val="00175024"/>
    <w:rsid w:val="0017783A"/>
    <w:rsid w:val="00177D17"/>
    <w:rsid w:val="001804B4"/>
    <w:rsid w:val="0018055B"/>
    <w:rsid w:val="00181F80"/>
    <w:rsid w:val="001828DA"/>
    <w:rsid w:val="00182E97"/>
    <w:rsid w:val="001856CA"/>
    <w:rsid w:val="00185EE3"/>
    <w:rsid w:val="001864F9"/>
    <w:rsid w:val="00187653"/>
    <w:rsid w:val="00190A05"/>
    <w:rsid w:val="001926E1"/>
    <w:rsid w:val="001927B8"/>
    <w:rsid w:val="00197434"/>
    <w:rsid w:val="001A0742"/>
    <w:rsid w:val="001A4045"/>
    <w:rsid w:val="001A5D01"/>
    <w:rsid w:val="001A6B66"/>
    <w:rsid w:val="001B20C8"/>
    <w:rsid w:val="001B2951"/>
    <w:rsid w:val="001B54F8"/>
    <w:rsid w:val="001C289D"/>
    <w:rsid w:val="001C34CB"/>
    <w:rsid w:val="001C3884"/>
    <w:rsid w:val="001C584B"/>
    <w:rsid w:val="001C7177"/>
    <w:rsid w:val="001C73AC"/>
    <w:rsid w:val="001D1C9A"/>
    <w:rsid w:val="001D27C6"/>
    <w:rsid w:val="001D3226"/>
    <w:rsid w:val="001D3856"/>
    <w:rsid w:val="001D3BB3"/>
    <w:rsid w:val="001D446E"/>
    <w:rsid w:val="001D50FD"/>
    <w:rsid w:val="001D52F4"/>
    <w:rsid w:val="001D629B"/>
    <w:rsid w:val="001D662B"/>
    <w:rsid w:val="001D7BF7"/>
    <w:rsid w:val="001E039A"/>
    <w:rsid w:val="001E2192"/>
    <w:rsid w:val="001E3252"/>
    <w:rsid w:val="001E467C"/>
    <w:rsid w:val="001E674A"/>
    <w:rsid w:val="001E6C83"/>
    <w:rsid w:val="001E73EC"/>
    <w:rsid w:val="001F2BC5"/>
    <w:rsid w:val="001F56FC"/>
    <w:rsid w:val="001F5702"/>
    <w:rsid w:val="001F5CA6"/>
    <w:rsid w:val="001F66E9"/>
    <w:rsid w:val="001F6D71"/>
    <w:rsid w:val="001F7F1F"/>
    <w:rsid w:val="00202650"/>
    <w:rsid w:val="0020345D"/>
    <w:rsid w:val="00203CE2"/>
    <w:rsid w:val="00204544"/>
    <w:rsid w:val="0020781D"/>
    <w:rsid w:val="002102ED"/>
    <w:rsid w:val="00211258"/>
    <w:rsid w:val="00212DA4"/>
    <w:rsid w:val="002130A6"/>
    <w:rsid w:val="00213885"/>
    <w:rsid w:val="00213CDC"/>
    <w:rsid w:val="00214FDB"/>
    <w:rsid w:val="002155E1"/>
    <w:rsid w:val="00215974"/>
    <w:rsid w:val="00215C3D"/>
    <w:rsid w:val="00215EC3"/>
    <w:rsid w:val="00217B37"/>
    <w:rsid w:val="002225CA"/>
    <w:rsid w:val="0022380A"/>
    <w:rsid w:val="00224B22"/>
    <w:rsid w:val="00224FB6"/>
    <w:rsid w:val="00225ED0"/>
    <w:rsid w:val="00226A63"/>
    <w:rsid w:val="002309E2"/>
    <w:rsid w:val="002311B4"/>
    <w:rsid w:val="002323DB"/>
    <w:rsid w:val="002334E6"/>
    <w:rsid w:val="002352F3"/>
    <w:rsid w:val="0023624E"/>
    <w:rsid w:val="0023658B"/>
    <w:rsid w:val="00236819"/>
    <w:rsid w:val="00237C1C"/>
    <w:rsid w:val="00240CCF"/>
    <w:rsid w:val="00241A06"/>
    <w:rsid w:val="00243B12"/>
    <w:rsid w:val="0024582A"/>
    <w:rsid w:val="002471AC"/>
    <w:rsid w:val="002474FC"/>
    <w:rsid w:val="002520A0"/>
    <w:rsid w:val="00253A71"/>
    <w:rsid w:val="002555CE"/>
    <w:rsid w:val="002558DB"/>
    <w:rsid w:val="00256044"/>
    <w:rsid w:val="00256549"/>
    <w:rsid w:val="00256920"/>
    <w:rsid w:val="0026057B"/>
    <w:rsid w:val="00261715"/>
    <w:rsid w:val="00261746"/>
    <w:rsid w:val="002646B7"/>
    <w:rsid w:val="002673ED"/>
    <w:rsid w:val="00267BE3"/>
    <w:rsid w:val="00267D62"/>
    <w:rsid w:val="00271531"/>
    <w:rsid w:val="00272AB8"/>
    <w:rsid w:val="0027386E"/>
    <w:rsid w:val="00273BDE"/>
    <w:rsid w:val="0027430B"/>
    <w:rsid w:val="00275057"/>
    <w:rsid w:val="00276C52"/>
    <w:rsid w:val="00277BBB"/>
    <w:rsid w:val="00280AE9"/>
    <w:rsid w:val="00280D7E"/>
    <w:rsid w:val="0028158F"/>
    <w:rsid w:val="00283465"/>
    <w:rsid w:val="0028686E"/>
    <w:rsid w:val="002921AB"/>
    <w:rsid w:val="00293973"/>
    <w:rsid w:val="00293BC5"/>
    <w:rsid w:val="002945EC"/>
    <w:rsid w:val="002949C2"/>
    <w:rsid w:val="00294CEF"/>
    <w:rsid w:val="00294E38"/>
    <w:rsid w:val="002952A2"/>
    <w:rsid w:val="00295911"/>
    <w:rsid w:val="002960DB"/>
    <w:rsid w:val="00296550"/>
    <w:rsid w:val="00296608"/>
    <w:rsid w:val="00297E93"/>
    <w:rsid w:val="002A0AF5"/>
    <w:rsid w:val="002A35D9"/>
    <w:rsid w:val="002A40B4"/>
    <w:rsid w:val="002A7C17"/>
    <w:rsid w:val="002B12EF"/>
    <w:rsid w:val="002B25A5"/>
    <w:rsid w:val="002B3147"/>
    <w:rsid w:val="002B365D"/>
    <w:rsid w:val="002B3FEE"/>
    <w:rsid w:val="002B5CEF"/>
    <w:rsid w:val="002B7234"/>
    <w:rsid w:val="002C193D"/>
    <w:rsid w:val="002C21D7"/>
    <w:rsid w:val="002C320F"/>
    <w:rsid w:val="002C6620"/>
    <w:rsid w:val="002C7378"/>
    <w:rsid w:val="002C784B"/>
    <w:rsid w:val="002D1048"/>
    <w:rsid w:val="002D15CF"/>
    <w:rsid w:val="002D2FFA"/>
    <w:rsid w:val="002D3AD5"/>
    <w:rsid w:val="002D5567"/>
    <w:rsid w:val="002D74DA"/>
    <w:rsid w:val="002E038A"/>
    <w:rsid w:val="002E0458"/>
    <w:rsid w:val="002E2EF0"/>
    <w:rsid w:val="002E4E51"/>
    <w:rsid w:val="002E589C"/>
    <w:rsid w:val="002E6724"/>
    <w:rsid w:val="002E7968"/>
    <w:rsid w:val="002E7AA0"/>
    <w:rsid w:val="002F3037"/>
    <w:rsid w:val="002F55ED"/>
    <w:rsid w:val="002F5CB7"/>
    <w:rsid w:val="002F65A3"/>
    <w:rsid w:val="002F69F1"/>
    <w:rsid w:val="002F7E30"/>
    <w:rsid w:val="0030092F"/>
    <w:rsid w:val="0030264F"/>
    <w:rsid w:val="003035E2"/>
    <w:rsid w:val="00304891"/>
    <w:rsid w:val="0030542A"/>
    <w:rsid w:val="003058A0"/>
    <w:rsid w:val="00306664"/>
    <w:rsid w:val="003071F6"/>
    <w:rsid w:val="00307BE3"/>
    <w:rsid w:val="00307CBC"/>
    <w:rsid w:val="003106CD"/>
    <w:rsid w:val="00312028"/>
    <w:rsid w:val="003130BC"/>
    <w:rsid w:val="003132C7"/>
    <w:rsid w:val="00317612"/>
    <w:rsid w:val="00317743"/>
    <w:rsid w:val="00320B7B"/>
    <w:rsid w:val="00321E12"/>
    <w:rsid w:val="003223D2"/>
    <w:rsid w:val="00322876"/>
    <w:rsid w:val="00323EFA"/>
    <w:rsid w:val="003263E7"/>
    <w:rsid w:val="0033005D"/>
    <w:rsid w:val="00330488"/>
    <w:rsid w:val="003319A0"/>
    <w:rsid w:val="003319FF"/>
    <w:rsid w:val="003325F5"/>
    <w:rsid w:val="00332A57"/>
    <w:rsid w:val="00333243"/>
    <w:rsid w:val="00334A4B"/>
    <w:rsid w:val="00334C6A"/>
    <w:rsid w:val="00335EEE"/>
    <w:rsid w:val="00336FE0"/>
    <w:rsid w:val="0033755C"/>
    <w:rsid w:val="00342C2D"/>
    <w:rsid w:val="00343752"/>
    <w:rsid w:val="00344076"/>
    <w:rsid w:val="00344C12"/>
    <w:rsid w:val="00350BEB"/>
    <w:rsid w:val="0035297D"/>
    <w:rsid w:val="00352E8E"/>
    <w:rsid w:val="003548B3"/>
    <w:rsid w:val="003552AF"/>
    <w:rsid w:val="00356BE4"/>
    <w:rsid w:val="00356EEF"/>
    <w:rsid w:val="003577AD"/>
    <w:rsid w:val="00360737"/>
    <w:rsid w:val="00360A74"/>
    <w:rsid w:val="00360BF8"/>
    <w:rsid w:val="003622A8"/>
    <w:rsid w:val="0036244E"/>
    <w:rsid w:val="0036263F"/>
    <w:rsid w:val="0036593C"/>
    <w:rsid w:val="0036654B"/>
    <w:rsid w:val="00367200"/>
    <w:rsid w:val="00371935"/>
    <w:rsid w:val="00372B46"/>
    <w:rsid w:val="003734E2"/>
    <w:rsid w:val="0037539D"/>
    <w:rsid w:val="0037694F"/>
    <w:rsid w:val="00377789"/>
    <w:rsid w:val="003812E7"/>
    <w:rsid w:val="00381AC2"/>
    <w:rsid w:val="003824CE"/>
    <w:rsid w:val="0038285D"/>
    <w:rsid w:val="00382A01"/>
    <w:rsid w:val="00382BC9"/>
    <w:rsid w:val="00383C90"/>
    <w:rsid w:val="00383CB3"/>
    <w:rsid w:val="00385153"/>
    <w:rsid w:val="0038592D"/>
    <w:rsid w:val="0038626E"/>
    <w:rsid w:val="003864C2"/>
    <w:rsid w:val="003868DD"/>
    <w:rsid w:val="00386AF8"/>
    <w:rsid w:val="003912B9"/>
    <w:rsid w:val="0039183E"/>
    <w:rsid w:val="00393FBE"/>
    <w:rsid w:val="0039537D"/>
    <w:rsid w:val="003955CF"/>
    <w:rsid w:val="00395FB0"/>
    <w:rsid w:val="00397B9A"/>
    <w:rsid w:val="00397E71"/>
    <w:rsid w:val="003A1331"/>
    <w:rsid w:val="003A23EE"/>
    <w:rsid w:val="003A3172"/>
    <w:rsid w:val="003A5FE5"/>
    <w:rsid w:val="003A75A5"/>
    <w:rsid w:val="003B201E"/>
    <w:rsid w:val="003B311C"/>
    <w:rsid w:val="003B4CAA"/>
    <w:rsid w:val="003B72D1"/>
    <w:rsid w:val="003B7665"/>
    <w:rsid w:val="003B7E5F"/>
    <w:rsid w:val="003C00C4"/>
    <w:rsid w:val="003C2D57"/>
    <w:rsid w:val="003C681C"/>
    <w:rsid w:val="003D156D"/>
    <w:rsid w:val="003D2F55"/>
    <w:rsid w:val="003D3A3E"/>
    <w:rsid w:val="003D3CDC"/>
    <w:rsid w:val="003D5BF1"/>
    <w:rsid w:val="003D622E"/>
    <w:rsid w:val="003D7322"/>
    <w:rsid w:val="003E0179"/>
    <w:rsid w:val="003E33B7"/>
    <w:rsid w:val="003E33BA"/>
    <w:rsid w:val="003E35FA"/>
    <w:rsid w:val="003E5FA8"/>
    <w:rsid w:val="003F1373"/>
    <w:rsid w:val="003F1A67"/>
    <w:rsid w:val="003F39AC"/>
    <w:rsid w:val="003F431C"/>
    <w:rsid w:val="003F51EA"/>
    <w:rsid w:val="003F536B"/>
    <w:rsid w:val="003F6695"/>
    <w:rsid w:val="003F7D45"/>
    <w:rsid w:val="00400069"/>
    <w:rsid w:val="004001AD"/>
    <w:rsid w:val="004008C4"/>
    <w:rsid w:val="004013F6"/>
    <w:rsid w:val="0040369C"/>
    <w:rsid w:val="004038FD"/>
    <w:rsid w:val="00404C9D"/>
    <w:rsid w:val="00406D59"/>
    <w:rsid w:val="00407A0D"/>
    <w:rsid w:val="00407AF6"/>
    <w:rsid w:val="0041127C"/>
    <w:rsid w:val="0041219C"/>
    <w:rsid w:val="004121D4"/>
    <w:rsid w:val="00414152"/>
    <w:rsid w:val="004173B0"/>
    <w:rsid w:val="00417A87"/>
    <w:rsid w:val="00420624"/>
    <w:rsid w:val="0042124F"/>
    <w:rsid w:val="00422189"/>
    <w:rsid w:val="00422B17"/>
    <w:rsid w:val="0042301E"/>
    <w:rsid w:val="00423880"/>
    <w:rsid w:val="004242B3"/>
    <w:rsid w:val="00426608"/>
    <w:rsid w:val="004276A6"/>
    <w:rsid w:val="00427804"/>
    <w:rsid w:val="00430198"/>
    <w:rsid w:val="00430A39"/>
    <w:rsid w:val="00430C59"/>
    <w:rsid w:val="004325B7"/>
    <w:rsid w:val="0043289D"/>
    <w:rsid w:val="00432971"/>
    <w:rsid w:val="00432AFD"/>
    <w:rsid w:val="004330A5"/>
    <w:rsid w:val="004347BF"/>
    <w:rsid w:val="00435C3B"/>
    <w:rsid w:val="00440460"/>
    <w:rsid w:val="00440F63"/>
    <w:rsid w:val="0044282F"/>
    <w:rsid w:val="004435E2"/>
    <w:rsid w:val="00444ED4"/>
    <w:rsid w:val="004450B0"/>
    <w:rsid w:val="004464D5"/>
    <w:rsid w:val="00447C62"/>
    <w:rsid w:val="00453B73"/>
    <w:rsid w:val="00453FB8"/>
    <w:rsid w:val="004554E2"/>
    <w:rsid w:val="004555C4"/>
    <w:rsid w:val="004573CE"/>
    <w:rsid w:val="00460AF0"/>
    <w:rsid w:val="00461CFC"/>
    <w:rsid w:val="00461FA5"/>
    <w:rsid w:val="00462AD0"/>
    <w:rsid w:val="0046365C"/>
    <w:rsid w:val="00463EA4"/>
    <w:rsid w:val="00465410"/>
    <w:rsid w:val="004657BA"/>
    <w:rsid w:val="00465860"/>
    <w:rsid w:val="0046648E"/>
    <w:rsid w:val="004667D0"/>
    <w:rsid w:val="00466FA4"/>
    <w:rsid w:val="00467944"/>
    <w:rsid w:val="00471990"/>
    <w:rsid w:val="00474267"/>
    <w:rsid w:val="00475D84"/>
    <w:rsid w:val="004803BB"/>
    <w:rsid w:val="00480EF8"/>
    <w:rsid w:val="00482387"/>
    <w:rsid w:val="00483308"/>
    <w:rsid w:val="004840C4"/>
    <w:rsid w:val="00485BE3"/>
    <w:rsid w:val="00486691"/>
    <w:rsid w:val="00486B07"/>
    <w:rsid w:val="00486DDD"/>
    <w:rsid w:val="004878FA"/>
    <w:rsid w:val="004901D1"/>
    <w:rsid w:val="004916A4"/>
    <w:rsid w:val="00492CF3"/>
    <w:rsid w:val="0049369E"/>
    <w:rsid w:val="004946FC"/>
    <w:rsid w:val="00494810"/>
    <w:rsid w:val="00496665"/>
    <w:rsid w:val="00496A3F"/>
    <w:rsid w:val="00496E15"/>
    <w:rsid w:val="00497F1E"/>
    <w:rsid w:val="004A1FA4"/>
    <w:rsid w:val="004A2133"/>
    <w:rsid w:val="004A277B"/>
    <w:rsid w:val="004A50D0"/>
    <w:rsid w:val="004A5ABD"/>
    <w:rsid w:val="004A5F65"/>
    <w:rsid w:val="004A6E6D"/>
    <w:rsid w:val="004A77A5"/>
    <w:rsid w:val="004B0288"/>
    <w:rsid w:val="004B02E9"/>
    <w:rsid w:val="004B0CBE"/>
    <w:rsid w:val="004B0E5E"/>
    <w:rsid w:val="004B415B"/>
    <w:rsid w:val="004B4192"/>
    <w:rsid w:val="004B6A6F"/>
    <w:rsid w:val="004B732B"/>
    <w:rsid w:val="004B78C7"/>
    <w:rsid w:val="004B795D"/>
    <w:rsid w:val="004C10B3"/>
    <w:rsid w:val="004C1CE3"/>
    <w:rsid w:val="004C28C4"/>
    <w:rsid w:val="004C39E0"/>
    <w:rsid w:val="004C47DB"/>
    <w:rsid w:val="004C49EE"/>
    <w:rsid w:val="004C64B2"/>
    <w:rsid w:val="004C6E40"/>
    <w:rsid w:val="004C70A0"/>
    <w:rsid w:val="004D2C24"/>
    <w:rsid w:val="004D35F8"/>
    <w:rsid w:val="004D502B"/>
    <w:rsid w:val="004D7B5F"/>
    <w:rsid w:val="004E040D"/>
    <w:rsid w:val="004E0CB4"/>
    <w:rsid w:val="004E39D4"/>
    <w:rsid w:val="004E4D34"/>
    <w:rsid w:val="004E55CF"/>
    <w:rsid w:val="004E5838"/>
    <w:rsid w:val="004E6AE3"/>
    <w:rsid w:val="004E6CAE"/>
    <w:rsid w:val="004F015F"/>
    <w:rsid w:val="004F2F13"/>
    <w:rsid w:val="004F370A"/>
    <w:rsid w:val="004F39A0"/>
    <w:rsid w:val="004F4F2C"/>
    <w:rsid w:val="004F6112"/>
    <w:rsid w:val="004F684F"/>
    <w:rsid w:val="004F741E"/>
    <w:rsid w:val="004F77BF"/>
    <w:rsid w:val="00501862"/>
    <w:rsid w:val="00501D67"/>
    <w:rsid w:val="0050293C"/>
    <w:rsid w:val="00502C7E"/>
    <w:rsid w:val="00505793"/>
    <w:rsid w:val="00505A05"/>
    <w:rsid w:val="005061AC"/>
    <w:rsid w:val="00510AA3"/>
    <w:rsid w:val="005113C1"/>
    <w:rsid w:val="00512280"/>
    <w:rsid w:val="0051228F"/>
    <w:rsid w:val="0051248C"/>
    <w:rsid w:val="00512727"/>
    <w:rsid w:val="0051407E"/>
    <w:rsid w:val="0051542D"/>
    <w:rsid w:val="005165FA"/>
    <w:rsid w:val="0052040C"/>
    <w:rsid w:val="00520586"/>
    <w:rsid w:val="00524F33"/>
    <w:rsid w:val="005256F4"/>
    <w:rsid w:val="00525A1D"/>
    <w:rsid w:val="00526060"/>
    <w:rsid w:val="00530267"/>
    <w:rsid w:val="005312C4"/>
    <w:rsid w:val="00531A4D"/>
    <w:rsid w:val="005328CC"/>
    <w:rsid w:val="00532B7B"/>
    <w:rsid w:val="00532C80"/>
    <w:rsid w:val="00532F83"/>
    <w:rsid w:val="00534A15"/>
    <w:rsid w:val="0053522C"/>
    <w:rsid w:val="00535446"/>
    <w:rsid w:val="00536D04"/>
    <w:rsid w:val="00540D73"/>
    <w:rsid w:val="005418C1"/>
    <w:rsid w:val="00542101"/>
    <w:rsid w:val="0054307D"/>
    <w:rsid w:val="005439C9"/>
    <w:rsid w:val="00544AEF"/>
    <w:rsid w:val="00544C01"/>
    <w:rsid w:val="00550A70"/>
    <w:rsid w:val="0055160D"/>
    <w:rsid w:val="00551681"/>
    <w:rsid w:val="00551CCC"/>
    <w:rsid w:val="00552CDD"/>
    <w:rsid w:val="00553A0C"/>
    <w:rsid w:val="00560251"/>
    <w:rsid w:val="00560682"/>
    <w:rsid w:val="00561424"/>
    <w:rsid w:val="0056145C"/>
    <w:rsid w:val="00561952"/>
    <w:rsid w:val="00561B78"/>
    <w:rsid w:val="00562681"/>
    <w:rsid w:val="0056382B"/>
    <w:rsid w:val="00563988"/>
    <w:rsid w:val="005645F0"/>
    <w:rsid w:val="00564AA5"/>
    <w:rsid w:val="00565014"/>
    <w:rsid w:val="0056505B"/>
    <w:rsid w:val="005659AB"/>
    <w:rsid w:val="005673C5"/>
    <w:rsid w:val="00570756"/>
    <w:rsid w:val="00570918"/>
    <w:rsid w:val="005713E9"/>
    <w:rsid w:val="005717B1"/>
    <w:rsid w:val="00572EBD"/>
    <w:rsid w:val="00574083"/>
    <w:rsid w:val="00574617"/>
    <w:rsid w:val="00575239"/>
    <w:rsid w:val="00575378"/>
    <w:rsid w:val="0058072C"/>
    <w:rsid w:val="00580F17"/>
    <w:rsid w:val="00581318"/>
    <w:rsid w:val="005823F5"/>
    <w:rsid w:val="0058456D"/>
    <w:rsid w:val="00584C58"/>
    <w:rsid w:val="00585EE0"/>
    <w:rsid w:val="00586365"/>
    <w:rsid w:val="00587D80"/>
    <w:rsid w:val="00590C6D"/>
    <w:rsid w:val="0059157F"/>
    <w:rsid w:val="00591BCE"/>
    <w:rsid w:val="00592522"/>
    <w:rsid w:val="005941D6"/>
    <w:rsid w:val="00595359"/>
    <w:rsid w:val="005956F7"/>
    <w:rsid w:val="00596B51"/>
    <w:rsid w:val="0059789D"/>
    <w:rsid w:val="005A1178"/>
    <w:rsid w:val="005A1865"/>
    <w:rsid w:val="005A26C6"/>
    <w:rsid w:val="005A4424"/>
    <w:rsid w:val="005A5297"/>
    <w:rsid w:val="005A56C0"/>
    <w:rsid w:val="005A7BEE"/>
    <w:rsid w:val="005A7EBD"/>
    <w:rsid w:val="005B024F"/>
    <w:rsid w:val="005B0472"/>
    <w:rsid w:val="005B1089"/>
    <w:rsid w:val="005B5279"/>
    <w:rsid w:val="005B677B"/>
    <w:rsid w:val="005B6A43"/>
    <w:rsid w:val="005C0332"/>
    <w:rsid w:val="005C1934"/>
    <w:rsid w:val="005C435D"/>
    <w:rsid w:val="005C4CE2"/>
    <w:rsid w:val="005C5548"/>
    <w:rsid w:val="005C5907"/>
    <w:rsid w:val="005C7C61"/>
    <w:rsid w:val="005D08ED"/>
    <w:rsid w:val="005D10BB"/>
    <w:rsid w:val="005D10F8"/>
    <w:rsid w:val="005D6582"/>
    <w:rsid w:val="005D7E5B"/>
    <w:rsid w:val="005E085B"/>
    <w:rsid w:val="005E1030"/>
    <w:rsid w:val="005E24FB"/>
    <w:rsid w:val="005E46E2"/>
    <w:rsid w:val="005E49DC"/>
    <w:rsid w:val="005E5BAE"/>
    <w:rsid w:val="005E6442"/>
    <w:rsid w:val="005F02BE"/>
    <w:rsid w:val="005F092B"/>
    <w:rsid w:val="005F0956"/>
    <w:rsid w:val="005F10DE"/>
    <w:rsid w:val="005F2FC9"/>
    <w:rsid w:val="005F38A9"/>
    <w:rsid w:val="005F44A7"/>
    <w:rsid w:val="005F4D39"/>
    <w:rsid w:val="005F68AD"/>
    <w:rsid w:val="005F758C"/>
    <w:rsid w:val="005F7B70"/>
    <w:rsid w:val="005F7B7B"/>
    <w:rsid w:val="00600543"/>
    <w:rsid w:val="006016DB"/>
    <w:rsid w:val="00604A9D"/>
    <w:rsid w:val="00605177"/>
    <w:rsid w:val="00607B73"/>
    <w:rsid w:val="00616749"/>
    <w:rsid w:val="00617C13"/>
    <w:rsid w:val="00617F3F"/>
    <w:rsid w:val="00620249"/>
    <w:rsid w:val="006220F9"/>
    <w:rsid w:val="00623781"/>
    <w:rsid w:val="00624296"/>
    <w:rsid w:val="0062623D"/>
    <w:rsid w:val="00626A5E"/>
    <w:rsid w:val="006272A2"/>
    <w:rsid w:val="00630F7B"/>
    <w:rsid w:val="00634571"/>
    <w:rsid w:val="00635B94"/>
    <w:rsid w:val="006363AD"/>
    <w:rsid w:val="006364CC"/>
    <w:rsid w:val="0064056D"/>
    <w:rsid w:val="00642383"/>
    <w:rsid w:val="00642E4A"/>
    <w:rsid w:val="00644C6B"/>
    <w:rsid w:val="00644FA1"/>
    <w:rsid w:val="0064700B"/>
    <w:rsid w:val="00647EE3"/>
    <w:rsid w:val="00650655"/>
    <w:rsid w:val="006517E3"/>
    <w:rsid w:val="00651F8D"/>
    <w:rsid w:val="00653630"/>
    <w:rsid w:val="00653896"/>
    <w:rsid w:val="0065445F"/>
    <w:rsid w:val="006546C2"/>
    <w:rsid w:val="00654A49"/>
    <w:rsid w:val="00655BE6"/>
    <w:rsid w:val="0065610E"/>
    <w:rsid w:val="00656643"/>
    <w:rsid w:val="00661434"/>
    <w:rsid w:val="0066250E"/>
    <w:rsid w:val="006628F9"/>
    <w:rsid w:val="00663836"/>
    <w:rsid w:val="00664F82"/>
    <w:rsid w:val="00665019"/>
    <w:rsid w:val="006665BD"/>
    <w:rsid w:val="00666E05"/>
    <w:rsid w:val="0066717C"/>
    <w:rsid w:val="00667335"/>
    <w:rsid w:val="006678F9"/>
    <w:rsid w:val="006726AE"/>
    <w:rsid w:val="006732B4"/>
    <w:rsid w:val="0067535F"/>
    <w:rsid w:val="00675586"/>
    <w:rsid w:val="00675C30"/>
    <w:rsid w:val="00681186"/>
    <w:rsid w:val="00681306"/>
    <w:rsid w:val="006817DB"/>
    <w:rsid w:val="00683209"/>
    <w:rsid w:val="006836DA"/>
    <w:rsid w:val="006837D9"/>
    <w:rsid w:val="00683B55"/>
    <w:rsid w:val="00683F12"/>
    <w:rsid w:val="00687F3C"/>
    <w:rsid w:val="006910F5"/>
    <w:rsid w:val="006924C8"/>
    <w:rsid w:val="006926CC"/>
    <w:rsid w:val="006927A7"/>
    <w:rsid w:val="00693B82"/>
    <w:rsid w:val="0069745C"/>
    <w:rsid w:val="006A0346"/>
    <w:rsid w:val="006A0B1A"/>
    <w:rsid w:val="006A4E9A"/>
    <w:rsid w:val="006A61B2"/>
    <w:rsid w:val="006A62C2"/>
    <w:rsid w:val="006A643B"/>
    <w:rsid w:val="006A6560"/>
    <w:rsid w:val="006A6F16"/>
    <w:rsid w:val="006B0236"/>
    <w:rsid w:val="006B02AA"/>
    <w:rsid w:val="006B0444"/>
    <w:rsid w:val="006B35B6"/>
    <w:rsid w:val="006B3F5F"/>
    <w:rsid w:val="006B5EB0"/>
    <w:rsid w:val="006B5ED3"/>
    <w:rsid w:val="006B6377"/>
    <w:rsid w:val="006B7ABE"/>
    <w:rsid w:val="006C0440"/>
    <w:rsid w:val="006C07BD"/>
    <w:rsid w:val="006C08CF"/>
    <w:rsid w:val="006C09C9"/>
    <w:rsid w:val="006C17CD"/>
    <w:rsid w:val="006C1943"/>
    <w:rsid w:val="006C1DDA"/>
    <w:rsid w:val="006C2C05"/>
    <w:rsid w:val="006C53DB"/>
    <w:rsid w:val="006D0B45"/>
    <w:rsid w:val="006D22C9"/>
    <w:rsid w:val="006D236A"/>
    <w:rsid w:val="006D2BF2"/>
    <w:rsid w:val="006D3471"/>
    <w:rsid w:val="006D3E40"/>
    <w:rsid w:val="006D48F5"/>
    <w:rsid w:val="006D4A5B"/>
    <w:rsid w:val="006D5261"/>
    <w:rsid w:val="006D5908"/>
    <w:rsid w:val="006D6476"/>
    <w:rsid w:val="006D68E8"/>
    <w:rsid w:val="006D7E44"/>
    <w:rsid w:val="006E0C87"/>
    <w:rsid w:val="006E1D40"/>
    <w:rsid w:val="006E2008"/>
    <w:rsid w:val="006E381A"/>
    <w:rsid w:val="006E3CB9"/>
    <w:rsid w:val="006E4387"/>
    <w:rsid w:val="006E4622"/>
    <w:rsid w:val="006E486F"/>
    <w:rsid w:val="006E533C"/>
    <w:rsid w:val="006E5397"/>
    <w:rsid w:val="006E71B6"/>
    <w:rsid w:val="006E7875"/>
    <w:rsid w:val="006F0999"/>
    <w:rsid w:val="006F0A6F"/>
    <w:rsid w:val="006F10B9"/>
    <w:rsid w:val="006F251F"/>
    <w:rsid w:val="006F272E"/>
    <w:rsid w:val="006F3A86"/>
    <w:rsid w:val="006F42E8"/>
    <w:rsid w:val="006F436D"/>
    <w:rsid w:val="006F6CB9"/>
    <w:rsid w:val="006F6D1A"/>
    <w:rsid w:val="006F7429"/>
    <w:rsid w:val="006F7A55"/>
    <w:rsid w:val="00701497"/>
    <w:rsid w:val="00701A0C"/>
    <w:rsid w:val="0070341C"/>
    <w:rsid w:val="0070499A"/>
    <w:rsid w:val="007072DA"/>
    <w:rsid w:val="00710E35"/>
    <w:rsid w:val="00714032"/>
    <w:rsid w:val="00714C54"/>
    <w:rsid w:val="00714D9B"/>
    <w:rsid w:val="007153DA"/>
    <w:rsid w:val="007163AD"/>
    <w:rsid w:val="00716542"/>
    <w:rsid w:val="00716E9D"/>
    <w:rsid w:val="00716F55"/>
    <w:rsid w:val="00720C94"/>
    <w:rsid w:val="007213C1"/>
    <w:rsid w:val="0072164B"/>
    <w:rsid w:val="007219A1"/>
    <w:rsid w:val="0072349D"/>
    <w:rsid w:val="00723D28"/>
    <w:rsid w:val="00725693"/>
    <w:rsid w:val="007257D8"/>
    <w:rsid w:val="00725CD5"/>
    <w:rsid w:val="00725D2E"/>
    <w:rsid w:val="007263D4"/>
    <w:rsid w:val="00726A6E"/>
    <w:rsid w:val="00727034"/>
    <w:rsid w:val="00730093"/>
    <w:rsid w:val="0073013F"/>
    <w:rsid w:val="00732140"/>
    <w:rsid w:val="007340FD"/>
    <w:rsid w:val="0073412B"/>
    <w:rsid w:val="007352E2"/>
    <w:rsid w:val="00735BD1"/>
    <w:rsid w:val="00736426"/>
    <w:rsid w:val="00736693"/>
    <w:rsid w:val="00737668"/>
    <w:rsid w:val="00743F28"/>
    <w:rsid w:val="00744070"/>
    <w:rsid w:val="007443A6"/>
    <w:rsid w:val="00744ECC"/>
    <w:rsid w:val="00745576"/>
    <w:rsid w:val="00745765"/>
    <w:rsid w:val="00745A32"/>
    <w:rsid w:val="00745B53"/>
    <w:rsid w:val="0074682E"/>
    <w:rsid w:val="00750F43"/>
    <w:rsid w:val="00750F53"/>
    <w:rsid w:val="0075140A"/>
    <w:rsid w:val="00755A4B"/>
    <w:rsid w:val="00755D96"/>
    <w:rsid w:val="00757912"/>
    <w:rsid w:val="00757C14"/>
    <w:rsid w:val="0076197C"/>
    <w:rsid w:val="00763E69"/>
    <w:rsid w:val="00764FC8"/>
    <w:rsid w:val="00770295"/>
    <w:rsid w:val="007702A3"/>
    <w:rsid w:val="007714FB"/>
    <w:rsid w:val="00774DDB"/>
    <w:rsid w:val="00775291"/>
    <w:rsid w:val="00781F61"/>
    <w:rsid w:val="0078297C"/>
    <w:rsid w:val="00783F8C"/>
    <w:rsid w:val="00784002"/>
    <w:rsid w:val="007856A3"/>
    <w:rsid w:val="007860CF"/>
    <w:rsid w:val="00786AD9"/>
    <w:rsid w:val="0079090E"/>
    <w:rsid w:val="00790BF3"/>
    <w:rsid w:val="007911BE"/>
    <w:rsid w:val="0079149A"/>
    <w:rsid w:val="007915FF"/>
    <w:rsid w:val="00796BFC"/>
    <w:rsid w:val="007A01F3"/>
    <w:rsid w:val="007A0B2B"/>
    <w:rsid w:val="007A1C84"/>
    <w:rsid w:val="007A255E"/>
    <w:rsid w:val="007A2DC7"/>
    <w:rsid w:val="007A42CE"/>
    <w:rsid w:val="007B019B"/>
    <w:rsid w:val="007B06DD"/>
    <w:rsid w:val="007B08CA"/>
    <w:rsid w:val="007B6DB3"/>
    <w:rsid w:val="007B6EE2"/>
    <w:rsid w:val="007B72A9"/>
    <w:rsid w:val="007C0020"/>
    <w:rsid w:val="007C1E93"/>
    <w:rsid w:val="007C1FE4"/>
    <w:rsid w:val="007C3998"/>
    <w:rsid w:val="007C3CF1"/>
    <w:rsid w:val="007C4407"/>
    <w:rsid w:val="007C4B49"/>
    <w:rsid w:val="007C573E"/>
    <w:rsid w:val="007C5CC4"/>
    <w:rsid w:val="007C604C"/>
    <w:rsid w:val="007C6E00"/>
    <w:rsid w:val="007D0B07"/>
    <w:rsid w:val="007D0D54"/>
    <w:rsid w:val="007D13E5"/>
    <w:rsid w:val="007D16BE"/>
    <w:rsid w:val="007D1883"/>
    <w:rsid w:val="007D316A"/>
    <w:rsid w:val="007D32A1"/>
    <w:rsid w:val="007D3DC4"/>
    <w:rsid w:val="007D53D6"/>
    <w:rsid w:val="007D5B7B"/>
    <w:rsid w:val="007D7249"/>
    <w:rsid w:val="007D77BF"/>
    <w:rsid w:val="007D79B1"/>
    <w:rsid w:val="007E1412"/>
    <w:rsid w:val="007E14CC"/>
    <w:rsid w:val="007E21D8"/>
    <w:rsid w:val="007E3825"/>
    <w:rsid w:val="007E64CD"/>
    <w:rsid w:val="007F1D36"/>
    <w:rsid w:val="007F3906"/>
    <w:rsid w:val="007F4C16"/>
    <w:rsid w:val="008001BD"/>
    <w:rsid w:val="008004B6"/>
    <w:rsid w:val="00801265"/>
    <w:rsid w:val="008020AE"/>
    <w:rsid w:val="00802523"/>
    <w:rsid w:val="00802E8B"/>
    <w:rsid w:val="008056B2"/>
    <w:rsid w:val="00805AE8"/>
    <w:rsid w:val="008065E9"/>
    <w:rsid w:val="0080672B"/>
    <w:rsid w:val="008103BD"/>
    <w:rsid w:val="00811E3C"/>
    <w:rsid w:val="00813377"/>
    <w:rsid w:val="00815732"/>
    <w:rsid w:val="008166D3"/>
    <w:rsid w:val="00817493"/>
    <w:rsid w:val="0081750B"/>
    <w:rsid w:val="00817BF5"/>
    <w:rsid w:val="00822166"/>
    <w:rsid w:val="008230A8"/>
    <w:rsid w:val="00823CA3"/>
    <w:rsid w:val="0082461B"/>
    <w:rsid w:val="008249D7"/>
    <w:rsid w:val="00824A94"/>
    <w:rsid w:val="0082531D"/>
    <w:rsid w:val="008276BB"/>
    <w:rsid w:val="0082771B"/>
    <w:rsid w:val="00830194"/>
    <w:rsid w:val="00830D92"/>
    <w:rsid w:val="00831272"/>
    <w:rsid w:val="00831298"/>
    <w:rsid w:val="00833149"/>
    <w:rsid w:val="00833B6C"/>
    <w:rsid w:val="0083468F"/>
    <w:rsid w:val="008357B0"/>
    <w:rsid w:val="00835989"/>
    <w:rsid w:val="00836107"/>
    <w:rsid w:val="00836B2A"/>
    <w:rsid w:val="00837570"/>
    <w:rsid w:val="008401C8"/>
    <w:rsid w:val="00840A8F"/>
    <w:rsid w:val="008419AB"/>
    <w:rsid w:val="00841E3F"/>
    <w:rsid w:val="008465A4"/>
    <w:rsid w:val="00846EB4"/>
    <w:rsid w:val="00852BA9"/>
    <w:rsid w:val="0085373C"/>
    <w:rsid w:val="00855DC5"/>
    <w:rsid w:val="00857C23"/>
    <w:rsid w:val="00857DCB"/>
    <w:rsid w:val="0086113C"/>
    <w:rsid w:val="00862CAF"/>
    <w:rsid w:val="008642BF"/>
    <w:rsid w:val="00865723"/>
    <w:rsid w:val="00866A4F"/>
    <w:rsid w:val="00866C43"/>
    <w:rsid w:val="00870034"/>
    <w:rsid w:val="00872AD0"/>
    <w:rsid w:val="0087412D"/>
    <w:rsid w:val="00874864"/>
    <w:rsid w:val="0087757A"/>
    <w:rsid w:val="008808E0"/>
    <w:rsid w:val="00881B5B"/>
    <w:rsid w:val="0088201C"/>
    <w:rsid w:val="00882DC7"/>
    <w:rsid w:val="00883648"/>
    <w:rsid w:val="00883C9E"/>
    <w:rsid w:val="008849E0"/>
    <w:rsid w:val="008852FF"/>
    <w:rsid w:val="00890613"/>
    <w:rsid w:val="00890687"/>
    <w:rsid w:val="0089111C"/>
    <w:rsid w:val="00891FAA"/>
    <w:rsid w:val="00892E19"/>
    <w:rsid w:val="00893854"/>
    <w:rsid w:val="00895E46"/>
    <w:rsid w:val="0089632C"/>
    <w:rsid w:val="008964D0"/>
    <w:rsid w:val="00896F75"/>
    <w:rsid w:val="008978D9"/>
    <w:rsid w:val="008A045A"/>
    <w:rsid w:val="008A1312"/>
    <w:rsid w:val="008A1388"/>
    <w:rsid w:val="008A24EE"/>
    <w:rsid w:val="008A3B7F"/>
    <w:rsid w:val="008A49D2"/>
    <w:rsid w:val="008A4C4F"/>
    <w:rsid w:val="008B0104"/>
    <w:rsid w:val="008B121C"/>
    <w:rsid w:val="008B1E5F"/>
    <w:rsid w:val="008B33BF"/>
    <w:rsid w:val="008B3614"/>
    <w:rsid w:val="008B4090"/>
    <w:rsid w:val="008B40D0"/>
    <w:rsid w:val="008B40EA"/>
    <w:rsid w:val="008B4B20"/>
    <w:rsid w:val="008B4C4C"/>
    <w:rsid w:val="008B53CB"/>
    <w:rsid w:val="008B6720"/>
    <w:rsid w:val="008C284F"/>
    <w:rsid w:val="008C2850"/>
    <w:rsid w:val="008C43C8"/>
    <w:rsid w:val="008C46BF"/>
    <w:rsid w:val="008C6A4A"/>
    <w:rsid w:val="008C7C27"/>
    <w:rsid w:val="008D0200"/>
    <w:rsid w:val="008D1665"/>
    <w:rsid w:val="008D1D88"/>
    <w:rsid w:val="008D3712"/>
    <w:rsid w:val="008D39A0"/>
    <w:rsid w:val="008D56AE"/>
    <w:rsid w:val="008D7882"/>
    <w:rsid w:val="008D78C9"/>
    <w:rsid w:val="008D7953"/>
    <w:rsid w:val="008E0F12"/>
    <w:rsid w:val="008E2EF1"/>
    <w:rsid w:val="008E6E84"/>
    <w:rsid w:val="008F144C"/>
    <w:rsid w:val="008F1ECC"/>
    <w:rsid w:val="008F2A0F"/>
    <w:rsid w:val="008F3BF2"/>
    <w:rsid w:val="008F417F"/>
    <w:rsid w:val="008F45B4"/>
    <w:rsid w:val="008F47FD"/>
    <w:rsid w:val="008F4B53"/>
    <w:rsid w:val="008F59B2"/>
    <w:rsid w:val="008F5A8B"/>
    <w:rsid w:val="008F6012"/>
    <w:rsid w:val="008F6695"/>
    <w:rsid w:val="00900148"/>
    <w:rsid w:val="00900A5C"/>
    <w:rsid w:val="0090176D"/>
    <w:rsid w:val="00904982"/>
    <w:rsid w:val="009052A1"/>
    <w:rsid w:val="009105E4"/>
    <w:rsid w:val="009113D9"/>
    <w:rsid w:val="00914A8E"/>
    <w:rsid w:val="00914C38"/>
    <w:rsid w:val="00914F4B"/>
    <w:rsid w:val="00915519"/>
    <w:rsid w:val="00915CCC"/>
    <w:rsid w:val="00916FD6"/>
    <w:rsid w:val="00917396"/>
    <w:rsid w:val="009211CE"/>
    <w:rsid w:val="00925211"/>
    <w:rsid w:val="00930719"/>
    <w:rsid w:val="00930793"/>
    <w:rsid w:val="009308AF"/>
    <w:rsid w:val="00930FC6"/>
    <w:rsid w:val="0093148D"/>
    <w:rsid w:val="009317DB"/>
    <w:rsid w:val="009338E8"/>
    <w:rsid w:val="009343DB"/>
    <w:rsid w:val="00934800"/>
    <w:rsid w:val="00934C0A"/>
    <w:rsid w:val="0093609C"/>
    <w:rsid w:val="00936AF8"/>
    <w:rsid w:val="009373E2"/>
    <w:rsid w:val="00937A54"/>
    <w:rsid w:val="00940801"/>
    <w:rsid w:val="00941AF9"/>
    <w:rsid w:val="00941B9F"/>
    <w:rsid w:val="00942380"/>
    <w:rsid w:val="00942525"/>
    <w:rsid w:val="0094274A"/>
    <w:rsid w:val="00942A1E"/>
    <w:rsid w:val="0094388F"/>
    <w:rsid w:val="009445F3"/>
    <w:rsid w:val="009456F4"/>
    <w:rsid w:val="00946CEF"/>
    <w:rsid w:val="00946E6B"/>
    <w:rsid w:val="0095002F"/>
    <w:rsid w:val="00951815"/>
    <w:rsid w:val="00951A32"/>
    <w:rsid w:val="00952979"/>
    <w:rsid w:val="00953D4F"/>
    <w:rsid w:val="009547A8"/>
    <w:rsid w:val="00955397"/>
    <w:rsid w:val="00955B25"/>
    <w:rsid w:val="00956453"/>
    <w:rsid w:val="009566DB"/>
    <w:rsid w:val="00957089"/>
    <w:rsid w:val="009575B0"/>
    <w:rsid w:val="009619A3"/>
    <w:rsid w:val="0096582D"/>
    <w:rsid w:val="009701EC"/>
    <w:rsid w:val="0097394E"/>
    <w:rsid w:val="00973DEF"/>
    <w:rsid w:val="00977AAB"/>
    <w:rsid w:val="00980454"/>
    <w:rsid w:val="00981EF1"/>
    <w:rsid w:val="0098283D"/>
    <w:rsid w:val="00982DD9"/>
    <w:rsid w:val="009838FC"/>
    <w:rsid w:val="00985D2C"/>
    <w:rsid w:val="00986708"/>
    <w:rsid w:val="0098750A"/>
    <w:rsid w:val="009900A3"/>
    <w:rsid w:val="009905E9"/>
    <w:rsid w:val="00990BF5"/>
    <w:rsid w:val="00990C54"/>
    <w:rsid w:val="00991257"/>
    <w:rsid w:val="009941B9"/>
    <w:rsid w:val="009948DE"/>
    <w:rsid w:val="00995CF5"/>
    <w:rsid w:val="00997652"/>
    <w:rsid w:val="009A0941"/>
    <w:rsid w:val="009A13B4"/>
    <w:rsid w:val="009A1E1E"/>
    <w:rsid w:val="009A1F5D"/>
    <w:rsid w:val="009A2D32"/>
    <w:rsid w:val="009A3846"/>
    <w:rsid w:val="009A71D4"/>
    <w:rsid w:val="009A7B98"/>
    <w:rsid w:val="009B2B5E"/>
    <w:rsid w:val="009B30BC"/>
    <w:rsid w:val="009B384E"/>
    <w:rsid w:val="009B39B0"/>
    <w:rsid w:val="009B3A8E"/>
    <w:rsid w:val="009B66B6"/>
    <w:rsid w:val="009B688A"/>
    <w:rsid w:val="009B798B"/>
    <w:rsid w:val="009C05A1"/>
    <w:rsid w:val="009C07E6"/>
    <w:rsid w:val="009C1974"/>
    <w:rsid w:val="009C1C21"/>
    <w:rsid w:val="009C25B7"/>
    <w:rsid w:val="009C4089"/>
    <w:rsid w:val="009C6B24"/>
    <w:rsid w:val="009D0C12"/>
    <w:rsid w:val="009D2ED6"/>
    <w:rsid w:val="009D3522"/>
    <w:rsid w:val="009D4C98"/>
    <w:rsid w:val="009D6703"/>
    <w:rsid w:val="009D6BCC"/>
    <w:rsid w:val="009D732A"/>
    <w:rsid w:val="009E2D3A"/>
    <w:rsid w:val="009E3F50"/>
    <w:rsid w:val="009E48F6"/>
    <w:rsid w:val="009E49A0"/>
    <w:rsid w:val="009E64F7"/>
    <w:rsid w:val="009E7B2B"/>
    <w:rsid w:val="009F0401"/>
    <w:rsid w:val="009F0F20"/>
    <w:rsid w:val="009F2292"/>
    <w:rsid w:val="009F3504"/>
    <w:rsid w:val="009F455F"/>
    <w:rsid w:val="009F46F1"/>
    <w:rsid w:val="009F56E6"/>
    <w:rsid w:val="009F5712"/>
    <w:rsid w:val="009F5C3E"/>
    <w:rsid w:val="009F6383"/>
    <w:rsid w:val="009F6B5F"/>
    <w:rsid w:val="00A0143C"/>
    <w:rsid w:val="00A015B9"/>
    <w:rsid w:val="00A01AF7"/>
    <w:rsid w:val="00A021E2"/>
    <w:rsid w:val="00A02665"/>
    <w:rsid w:val="00A04CC5"/>
    <w:rsid w:val="00A0562B"/>
    <w:rsid w:val="00A05BF3"/>
    <w:rsid w:val="00A05E06"/>
    <w:rsid w:val="00A1135A"/>
    <w:rsid w:val="00A11EE5"/>
    <w:rsid w:val="00A1207D"/>
    <w:rsid w:val="00A17F4E"/>
    <w:rsid w:val="00A20016"/>
    <w:rsid w:val="00A20656"/>
    <w:rsid w:val="00A208E1"/>
    <w:rsid w:val="00A20A86"/>
    <w:rsid w:val="00A21C5E"/>
    <w:rsid w:val="00A226B4"/>
    <w:rsid w:val="00A24457"/>
    <w:rsid w:val="00A27889"/>
    <w:rsid w:val="00A27DEE"/>
    <w:rsid w:val="00A27F4C"/>
    <w:rsid w:val="00A27FD7"/>
    <w:rsid w:val="00A3271B"/>
    <w:rsid w:val="00A328E4"/>
    <w:rsid w:val="00A32BEA"/>
    <w:rsid w:val="00A336AF"/>
    <w:rsid w:val="00A35A83"/>
    <w:rsid w:val="00A35C84"/>
    <w:rsid w:val="00A36524"/>
    <w:rsid w:val="00A36B62"/>
    <w:rsid w:val="00A373A5"/>
    <w:rsid w:val="00A3767E"/>
    <w:rsid w:val="00A37F4B"/>
    <w:rsid w:val="00A405C6"/>
    <w:rsid w:val="00A40F8C"/>
    <w:rsid w:val="00A416F6"/>
    <w:rsid w:val="00A419EE"/>
    <w:rsid w:val="00A42ECD"/>
    <w:rsid w:val="00A4425B"/>
    <w:rsid w:val="00A44A1F"/>
    <w:rsid w:val="00A44E25"/>
    <w:rsid w:val="00A46F6D"/>
    <w:rsid w:val="00A51A7C"/>
    <w:rsid w:val="00A524A8"/>
    <w:rsid w:val="00A52871"/>
    <w:rsid w:val="00A53D3F"/>
    <w:rsid w:val="00A54A58"/>
    <w:rsid w:val="00A55448"/>
    <w:rsid w:val="00A5638F"/>
    <w:rsid w:val="00A56F2C"/>
    <w:rsid w:val="00A57B6B"/>
    <w:rsid w:val="00A60632"/>
    <w:rsid w:val="00A60CBD"/>
    <w:rsid w:val="00A60D63"/>
    <w:rsid w:val="00A6117A"/>
    <w:rsid w:val="00A62156"/>
    <w:rsid w:val="00A63474"/>
    <w:rsid w:val="00A66A1E"/>
    <w:rsid w:val="00A66E5F"/>
    <w:rsid w:val="00A67A5D"/>
    <w:rsid w:val="00A71A5C"/>
    <w:rsid w:val="00A71BC8"/>
    <w:rsid w:val="00A71E28"/>
    <w:rsid w:val="00A72654"/>
    <w:rsid w:val="00A741BD"/>
    <w:rsid w:val="00A744D8"/>
    <w:rsid w:val="00A75655"/>
    <w:rsid w:val="00A76EB3"/>
    <w:rsid w:val="00A774D4"/>
    <w:rsid w:val="00A77FC6"/>
    <w:rsid w:val="00A800CB"/>
    <w:rsid w:val="00A8053C"/>
    <w:rsid w:val="00A81CBF"/>
    <w:rsid w:val="00A82B28"/>
    <w:rsid w:val="00A842E6"/>
    <w:rsid w:val="00A85357"/>
    <w:rsid w:val="00A85519"/>
    <w:rsid w:val="00A85790"/>
    <w:rsid w:val="00A8597C"/>
    <w:rsid w:val="00A86063"/>
    <w:rsid w:val="00A869BE"/>
    <w:rsid w:val="00A8729B"/>
    <w:rsid w:val="00A87A8F"/>
    <w:rsid w:val="00A90362"/>
    <w:rsid w:val="00A908D4"/>
    <w:rsid w:val="00A90D44"/>
    <w:rsid w:val="00A91110"/>
    <w:rsid w:val="00A9161B"/>
    <w:rsid w:val="00A91E85"/>
    <w:rsid w:val="00A93406"/>
    <w:rsid w:val="00A93997"/>
    <w:rsid w:val="00A95106"/>
    <w:rsid w:val="00A9593D"/>
    <w:rsid w:val="00A966F4"/>
    <w:rsid w:val="00A97642"/>
    <w:rsid w:val="00A97B76"/>
    <w:rsid w:val="00AA0C06"/>
    <w:rsid w:val="00AA20D2"/>
    <w:rsid w:val="00AA2B7D"/>
    <w:rsid w:val="00AA51E1"/>
    <w:rsid w:val="00AA664B"/>
    <w:rsid w:val="00AA69D8"/>
    <w:rsid w:val="00AA775B"/>
    <w:rsid w:val="00AB16E2"/>
    <w:rsid w:val="00AB48A9"/>
    <w:rsid w:val="00AB4B51"/>
    <w:rsid w:val="00AB628F"/>
    <w:rsid w:val="00AB6B7D"/>
    <w:rsid w:val="00AB721C"/>
    <w:rsid w:val="00AC0A93"/>
    <w:rsid w:val="00AC104C"/>
    <w:rsid w:val="00AC2C77"/>
    <w:rsid w:val="00AC2F33"/>
    <w:rsid w:val="00AC3130"/>
    <w:rsid w:val="00AC4F0B"/>
    <w:rsid w:val="00AC79BC"/>
    <w:rsid w:val="00AC7F1D"/>
    <w:rsid w:val="00AD0198"/>
    <w:rsid w:val="00AD2201"/>
    <w:rsid w:val="00AD2901"/>
    <w:rsid w:val="00AD318F"/>
    <w:rsid w:val="00AD3B32"/>
    <w:rsid w:val="00AD3D48"/>
    <w:rsid w:val="00AD4604"/>
    <w:rsid w:val="00AD7109"/>
    <w:rsid w:val="00AD762E"/>
    <w:rsid w:val="00AE17D3"/>
    <w:rsid w:val="00AE2ECA"/>
    <w:rsid w:val="00AE3415"/>
    <w:rsid w:val="00AE4DE6"/>
    <w:rsid w:val="00AE5BF0"/>
    <w:rsid w:val="00AE694A"/>
    <w:rsid w:val="00AF0D7F"/>
    <w:rsid w:val="00AF12AB"/>
    <w:rsid w:val="00AF2439"/>
    <w:rsid w:val="00AF274B"/>
    <w:rsid w:val="00AF3114"/>
    <w:rsid w:val="00AF37A1"/>
    <w:rsid w:val="00AF563E"/>
    <w:rsid w:val="00AF5801"/>
    <w:rsid w:val="00AF71F2"/>
    <w:rsid w:val="00B044E4"/>
    <w:rsid w:val="00B04CF7"/>
    <w:rsid w:val="00B05763"/>
    <w:rsid w:val="00B07C97"/>
    <w:rsid w:val="00B111C7"/>
    <w:rsid w:val="00B1141F"/>
    <w:rsid w:val="00B11E6C"/>
    <w:rsid w:val="00B12005"/>
    <w:rsid w:val="00B12CE8"/>
    <w:rsid w:val="00B13162"/>
    <w:rsid w:val="00B16CF6"/>
    <w:rsid w:val="00B20997"/>
    <w:rsid w:val="00B20E4C"/>
    <w:rsid w:val="00B234BA"/>
    <w:rsid w:val="00B24D49"/>
    <w:rsid w:val="00B25C03"/>
    <w:rsid w:val="00B2655B"/>
    <w:rsid w:val="00B30135"/>
    <w:rsid w:val="00B30A9F"/>
    <w:rsid w:val="00B31249"/>
    <w:rsid w:val="00B33152"/>
    <w:rsid w:val="00B33BED"/>
    <w:rsid w:val="00B341C2"/>
    <w:rsid w:val="00B355ED"/>
    <w:rsid w:val="00B36EA9"/>
    <w:rsid w:val="00B37587"/>
    <w:rsid w:val="00B37C8C"/>
    <w:rsid w:val="00B401C7"/>
    <w:rsid w:val="00B413C9"/>
    <w:rsid w:val="00B42DA8"/>
    <w:rsid w:val="00B4345D"/>
    <w:rsid w:val="00B437AA"/>
    <w:rsid w:val="00B453AE"/>
    <w:rsid w:val="00B454AA"/>
    <w:rsid w:val="00B4682A"/>
    <w:rsid w:val="00B50232"/>
    <w:rsid w:val="00B50C0D"/>
    <w:rsid w:val="00B51AC4"/>
    <w:rsid w:val="00B5283E"/>
    <w:rsid w:val="00B543F1"/>
    <w:rsid w:val="00B55A67"/>
    <w:rsid w:val="00B56315"/>
    <w:rsid w:val="00B568B1"/>
    <w:rsid w:val="00B57D2A"/>
    <w:rsid w:val="00B60B9F"/>
    <w:rsid w:val="00B612DC"/>
    <w:rsid w:val="00B61CAE"/>
    <w:rsid w:val="00B63A1E"/>
    <w:rsid w:val="00B65CDA"/>
    <w:rsid w:val="00B66455"/>
    <w:rsid w:val="00B70425"/>
    <w:rsid w:val="00B70728"/>
    <w:rsid w:val="00B718DF"/>
    <w:rsid w:val="00B71B1A"/>
    <w:rsid w:val="00B72D0B"/>
    <w:rsid w:val="00B732C9"/>
    <w:rsid w:val="00B73659"/>
    <w:rsid w:val="00B74646"/>
    <w:rsid w:val="00B82C54"/>
    <w:rsid w:val="00B82DD7"/>
    <w:rsid w:val="00B830EC"/>
    <w:rsid w:val="00B83A60"/>
    <w:rsid w:val="00B864BD"/>
    <w:rsid w:val="00B8779E"/>
    <w:rsid w:val="00B87AAA"/>
    <w:rsid w:val="00B92540"/>
    <w:rsid w:val="00B92DF9"/>
    <w:rsid w:val="00B933DB"/>
    <w:rsid w:val="00B96979"/>
    <w:rsid w:val="00B969A0"/>
    <w:rsid w:val="00B96F1B"/>
    <w:rsid w:val="00B97237"/>
    <w:rsid w:val="00B974BA"/>
    <w:rsid w:val="00B97900"/>
    <w:rsid w:val="00BA10FA"/>
    <w:rsid w:val="00BA2F05"/>
    <w:rsid w:val="00BA32A9"/>
    <w:rsid w:val="00BA373B"/>
    <w:rsid w:val="00BA38F3"/>
    <w:rsid w:val="00BA3BE9"/>
    <w:rsid w:val="00BA4731"/>
    <w:rsid w:val="00BA4B58"/>
    <w:rsid w:val="00BA4BC7"/>
    <w:rsid w:val="00BA57E1"/>
    <w:rsid w:val="00BA5D16"/>
    <w:rsid w:val="00BA6092"/>
    <w:rsid w:val="00BA7BDC"/>
    <w:rsid w:val="00BB04ED"/>
    <w:rsid w:val="00BB1E87"/>
    <w:rsid w:val="00BB24F7"/>
    <w:rsid w:val="00BB2B4F"/>
    <w:rsid w:val="00BB3551"/>
    <w:rsid w:val="00BB37FC"/>
    <w:rsid w:val="00BB44CE"/>
    <w:rsid w:val="00BB525E"/>
    <w:rsid w:val="00BB65A9"/>
    <w:rsid w:val="00BC2812"/>
    <w:rsid w:val="00BC289C"/>
    <w:rsid w:val="00BC35F0"/>
    <w:rsid w:val="00BC3761"/>
    <w:rsid w:val="00BC51BB"/>
    <w:rsid w:val="00BD2865"/>
    <w:rsid w:val="00BD41E3"/>
    <w:rsid w:val="00BD436A"/>
    <w:rsid w:val="00BD4717"/>
    <w:rsid w:val="00BD7204"/>
    <w:rsid w:val="00BE01B6"/>
    <w:rsid w:val="00BE0441"/>
    <w:rsid w:val="00BE0FB1"/>
    <w:rsid w:val="00BE1A77"/>
    <w:rsid w:val="00BE2F27"/>
    <w:rsid w:val="00BE524D"/>
    <w:rsid w:val="00BE690B"/>
    <w:rsid w:val="00BE7F98"/>
    <w:rsid w:val="00BF081E"/>
    <w:rsid w:val="00BF1EA4"/>
    <w:rsid w:val="00BF36DB"/>
    <w:rsid w:val="00BF55A2"/>
    <w:rsid w:val="00BF620E"/>
    <w:rsid w:val="00BF68EE"/>
    <w:rsid w:val="00C001F2"/>
    <w:rsid w:val="00C03008"/>
    <w:rsid w:val="00C03FA9"/>
    <w:rsid w:val="00C041C3"/>
    <w:rsid w:val="00C04BB7"/>
    <w:rsid w:val="00C05151"/>
    <w:rsid w:val="00C05E2F"/>
    <w:rsid w:val="00C07839"/>
    <w:rsid w:val="00C106FF"/>
    <w:rsid w:val="00C1233E"/>
    <w:rsid w:val="00C13397"/>
    <w:rsid w:val="00C13C2D"/>
    <w:rsid w:val="00C158C5"/>
    <w:rsid w:val="00C15A2F"/>
    <w:rsid w:val="00C15A5B"/>
    <w:rsid w:val="00C15E9A"/>
    <w:rsid w:val="00C1689A"/>
    <w:rsid w:val="00C1789C"/>
    <w:rsid w:val="00C21CA2"/>
    <w:rsid w:val="00C22DDA"/>
    <w:rsid w:val="00C22E89"/>
    <w:rsid w:val="00C23883"/>
    <w:rsid w:val="00C24069"/>
    <w:rsid w:val="00C24C92"/>
    <w:rsid w:val="00C25957"/>
    <w:rsid w:val="00C25CC7"/>
    <w:rsid w:val="00C263EC"/>
    <w:rsid w:val="00C26A49"/>
    <w:rsid w:val="00C2701B"/>
    <w:rsid w:val="00C27921"/>
    <w:rsid w:val="00C30080"/>
    <w:rsid w:val="00C31936"/>
    <w:rsid w:val="00C31B92"/>
    <w:rsid w:val="00C32461"/>
    <w:rsid w:val="00C345A1"/>
    <w:rsid w:val="00C3634E"/>
    <w:rsid w:val="00C36E30"/>
    <w:rsid w:val="00C371CC"/>
    <w:rsid w:val="00C37340"/>
    <w:rsid w:val="00C37854"/>
    <w:rsid w:val="00C3788A"/>
    <w:rsid w:val="00C40322"/>
    <w:rsid w:val="00C427A7"/>
    <w:rsid w:val="00C43196"/>
    <w:rsid w:val="00C43C75"/>
    <w:rsid w:val="00C43F67"/>
    <w:rsid w:val="00C45BB0"/>
    <w:rsid w:val="00C46A8A"/>
    <w:rsid w:val="00C46F91"/>
    <w:rsid w:val="00C47A22"/>
    <w:rsid w:val="00C52307"/>
    <w:rsid w:val="00C5330A"/>
    <w:rsid w:val="00C53425"/>
    <w:rsid w:val="00C61863"/>
    <w:rsid w:val="00C63760"/>
    <w:rsid w:val="00C654D8"/>
    <w:rsid w:val="00C676E9"/>
    <w:rsid w:val="00C70B5E"/>
    <w:rsid w:val="00C7153C"/>
    <w:rsid w:val="00C72B68"/>
    <w:rsid w:val="00C74D13"/>
    <w:rsid w:val="00C76524"/>
    <w:rsid w:val="00C7689D"/>
    <w:rsid w:val="00C77038"/>
    <w:rsid w:val="00C771FF"/>
    <w:rsid w:val="00C776B3"/>
    <w:rsid w:val="00C80384"/>
    <w:rsid w:val="00C80539"/>
    <w:rsid w:val="00C809A4"/>
    <w:rsid w:val="00C80D2E"/>
    <w:rsid w:val="00C817C4"/>
    <w:rsid w:val="00C8288F"/>
    <w:rsid w:val="00C82FD3"/>
    <w:rsid w:val="00C84C23"/>
    <w:rsid w:val="00C854A9"/>
    <w:rsid w:val="00C86704"/>
    <w:rsid w:val="00C8713A"/>
    <w:rsid w:val="00C874A9"/>
    <w:rsid w:val="00C87548"/>
    <w:rsid w:val="00C876E4"/>
    <w:rsid w:val="00C87A95"/>
    <w:rsid w:val="00C87C9F"/>
    <w:rsid w:val="00C87CD7"/>
    <w:rsid w:val="00C87F83"/>
    <w:rsid w:val="00C937D8"/>
    <w:rsid w:val="00C94F1A"/>
    <w:rsid w:val="00C95881"/>
    <w:rsid w:val="00C95E75"/>
    <w:rsid w:val="00C96156"/>
    <w:rsid w:val="00C967E2"/>
    <w:rsid w:val="00C9736F"/>
    <w:rsid w:val="00C97836"/>
    <w:rsid w:val="00CA106A"/>
    <w:rsid w:val="00CA15DB"/>
    <w:rsid w:val="00CA2847"/>
    <w:rsid w:val="00CA2FB6"/>
    <w:rsid w:val="00CA43C6"/>
    <w:rsid w:val="00CA6AD6"/>
    <w:rsid w:val="00CA7130"/>
    <w:rsid w:val="00CA714E"/>
    <w:rsid w:val="00CB12D0"/>
    <w:rsid w:val="00CB17E9"/>
    <w:rsid w:val="00CB6518"/>
    <w:rsid w:val="00CB667F"/>
    <w:rsid w:val="00CC0714"/>
    <w:rsid w:val="00CC0894"/>
    <w:rsid w:val="00CC3F02"/>
    <w:rsid w:val="00CC479F"/>
    <w:rsid w:val="00CC6559"/>
    <w:rsid w:val="00CC6C19"/>
    <w:rsid w:val="00CD0EE0"/>
    <w:rsid w:val="00CD2957"/>
    <w:rsid w:val="00CD4105"/>
    <w:rsid w:val="00CD729D"/>
    <w:rsid w:val="00CD769C"/>
    <w:rsid w:val="00CE010A"/>
    <w:rsid w:val="00CE02C0"/>
    <w:rsid w:val="00CE037A"/>
    <w:rsid w:val="00CE23E5"/>
    <w:rsid w:val="00CE3044"/>
    <w:rsid w:val="00CE535D"/>
    <w:rsid w:val="00CE6AB7"/>
    <w:rsid w:val="00CF22CA"/>
    <w:rsid w:val="00CF4A55"/>
    <w:rsid w:val="00CF4C41"/>
    <w:rsid w:val="00CF5748"/>
    <w:rsid w:val="00CF5E24"/>
    <w:rsid w:val="00CF5FB5"/>
    <w:rsid w:val="00CF72DD"/>
    <w:rsid w:val="00D0088D"/>
    <w:rsid w:val="00D00B9D"/>
    <w:rsid w:val="00D0157F"/>
    <w:rsid w:val="00D02178"/>
    <w:rsid w:val="00D02442"/>
    <w:rsid w:val="00D03462"/>
    <w:rsid w:val="00D034B7"/>
    <w:rsid w:val="00D0550D"/>
    <w:rsid w:val="00D0569B"/>
    <w:rsid w:val="00D060B7"/>
    <w:rsid w:val="00D0692C"/>
    <w:rsid w:val="00D07D8C"/>
    <w:rsid w:val="00D10AAA"/>
    <w:rsid w:val="00D13B5C"/>
    <w:rsid w:val="00D13C5F"/>
    <w:rsid w:val="00D15BB4"/>
    <w:rsid w:val="00D16953"/>
    <w:rsid w:val="00D17648"/>
    <w:rsid w:val="00D17705"/>
    <w:rsid w:val="00D20AEC"/>
    <w:rsid w:val="00D20DF6"/>
    <w:rsid w:val="00D213D7"/>
    <w:rsid w:val="00D220B1"/>
    <w:rsid w:val="00D22F99"/>
    <w:rsid w:val="00D23A75"/>
    <w:rsid w:val="00D23B32"/>
    <w:rsid w:val="00D24D1D"/>
    <w:rsid w:val="00D25BE8"/>
    <w:rsid w:val="00D30016"/>
    <w:rsid w:val="00D30872"/>
    <w:rsid w:val="00D30B13"/>
    <w:rsid w:val="00D3104C"/>
    <w:rsid w:val="00D31B5D"/>
    <w:rsid w:val="00D32583"/>
    <w:rsid w:val="00D32FF0"/>
    <w:rsid w:val="00D337B6"/>
    <w:rsid w:val="00D33BDB"/>
    <w:rsid w:val="00D34B84"/>
    <w:rsid w:val="00D358D0"/>
    <w:rsid w:val="00D3638C"/>
    <w:rsid w:val="00D40FA0"/>
    <w:rsid w:val="00D417D7"/>
    <w:rsid w:val="00D417F0"/>
    <w:rsid w:val="00D41AAA"/>
    <w:rsid w:val="00D459A2"/>
    <w:rsid w:val="00D50A70"/>
    <w:rsid w:val="00D50E60"/>
    <w:rsid w:val="00D5175E"/>
    <w:rsid w:val="00D52D2B"/>
    <w:rsid w:val="00D556B2"/>
    <w:rsid w:val="00D6036B"/>
    <w:rsid w:val="00D60DBF"/>
    <w:rsid w:val="00D61159"/>
    <w:rsid w:val="00D62B8E"/>
    <w:rsid w:val="00D6347A"/>
    <w:rsid w:val="00D636F1"/>
    <w:rsid w:val="00D6784D"/>
    <w:rsid w:val="00D70F1F"/>
    <w:rsid w:val="00D72FB5"/>
    <w:rsid w:val="00D74EFE"/>
    <w:rsid w:val="00D75191"/>
    <w:rsid w:val="00D75A8C"/>
    <w:rsid w:val="00D8016B"/>
    <w:rsid w:val="00D80F6A"/>
    <w:rsid w:val="00D81CB6"/>
    <w:rsid w:val="00D83482"/>
    <w:rsid w:val="00D841D6"/>
    <w:rsid w:val="00D84755"/>
    <w:rsid w:val="00D84BCF"/>
    <w:rsid w:val="00D8536D"/>
    <w:rsid w:val="00D86A48"/>
    <w:rsid w:val="00D86D92"/>
    <w:rsid w:val="00D9470A"/>
    <w:rsid w:val="00D958A3"/>
    <w:rsid w:val="00D95948"/>
    <w:rsid w:val="00D96F4E"/>
    <w:rsid w:val="00DA0C2B"/>
    <w:rsid w:val="00DA169A"/>
    <w:rsid w:val="00DA1F34"/>
    <w:rsid w:val="00DA24F0"/>
    <w:rsid w:val="00DA417B"/>
    <w:rsid w:val="00DA5684"/>
    <w:rsid w:val="00DA5D24"/>
    <w:rsid w:val="00DA66BC"/>
    <w:rsid w:val="00DA6A72"/>
    <w:rsid w:val="00DA6CE7"/>
    <w:rsid w:val="00DA712F"/>
    <w:rsid w:val="00DA7250"/>
    <w:rsid w:val="00DB05C7"/>
    <w:rsid w:val="00DB05CE"/>
    <w:rsid w:val="00DB0F62"/>
    <w:rsid w:val="00DB1431"/>
    <w:rsid w:val="00DB1DF6"/>
    <w:rsid w:val="00DB2A04"/>
    <w:rsid w:val="00DB2F47"/>
    <w:rsid w:val="00DB4B2D"/>
    <w:rsid w:val="00DB4C50"/>
    <w:rsid w:val="00DB58CF"/>
    <w:rsid w:val="00DB5AEE"/>
    <w:rsid w:val="00DB65E0"/>
    <w:rsid w:val="00DB7564"/>
    <w:rsid w:val="00DC05D1"/>
    <w:rsid w:val="00DC372E"/>
    <w:rsid w:val="00DC3BFE"/>
    <w:rsid w:val="00DC4388"/>
    <w:rsid w:val="00DC460C"/>
    <w:rsid w:val="00DC56A0"/>
    <w:rsid w:val="00DC5D1D"/>
    <w:rsid w:val="00DC6EB9"/>
    <w:rsid w:val="00DC719C"/>
    <w:rsid w:val="00DD0200"/>
    <w:rsid w:val="00DD098A"/>
    <w:rsid w:val="00DD16F7"/>
    <w:rsid w:val="00DD1782"/>
    <w:rsid w:val="00DD1B93"/>
    <w:rsid w:val="00DD28B7"/>
    <w:rsid w:val="00DD4091"/>
    <w:rsid w:val="00DD4C02"/>
    <w:rsid w:val="00DD5E94"/>
    <w:rsid w:val="00DD60B7"/>
    <w:rsid w:val="00DD76D5"/>
    <w:rsid w:val="00DD78C1"/>
    <w:rsid w:val="00DE2FD9"/>
    <w:rsid w:val="00DE3F2A"/>
    <w:rsid w:val="00DE6952"/>
    <w:rsid w:val="00DE6F61"/>
    <w:rsid w:val="00DE718A"/>
    <w:rsid w:val="00DF48E4"/>
    <w:rsid w:val="00DF4DEE"/>
    <w:rsid w:val="00DF6FFB"/>
    <w:rsid w:val="00E00DAF"/>
    <w:rsid w:val="00E00DF0"/>
    <w:rsid w:val="00E024D7"/>
    <w:rsid w:val="00E02C8C"/>
    <w:rsid w:val="00E02FC3"/>
    <w:rsid w:val="00E065B3"/>
    <w:rsid w:val="00E06A3F"/>
    <w:rsid w:val="00E07524"/>
    <w:rsid w:val="00E12189"/>
    <w:rsid w:val="00E12DFF"/>
    <w:rsid w:val="00E14695"/>
    <w:rsid w:val="00E1511F"/>
    <w:rsid w:val="00E1611D"/>
    <w:rsid w:val="00E16D0D"/>
    <w:rsid w:val="00E171AE"/>
    <w:rsid w:val="00E1730E"/>
    <w:rsid w:val="00E24B25"/>
    <w:rsid w:val="00E24BB6"/>
    <w:rsid w:val="00E26B4B"/>
    <w:rsid w:val="00E27777"/>
    <w:rsid w:val="00E30209"/>
    <w:rsid w:val="00E3033E"/>
    <w:rsid w:val="00E325F2"/>
    <w:rsid w:val="00E32669"/>
    <w:rsid w:val="00E326AA"/>
    <w:rsid w:val="00E32AF6"/>
    <w:rsid w:val="00E353C2"/>
    <w:rsid w:val="00E35CBA"/>
    <w:rsid w:val="00E35F86"/>
    <w:rsid w:val="00E3620F"/>
    <w:rsid w:val="00E36A2B"/>
    <w:rsid w:val="00E36B71"/>
    <w:rsid w:val="00E400E3"/>
    <w:rsid w:val="00E40B11"/>
    <w:rsid w:val="00E40C11"/>
    <w:rsid w:val="00E415B2"/>
    <w:rsid w:val="00E4207D"/>
    <w:rsid w:val="00E4297C"/>
    <w:rsid w:val="00E42B07"/>
    <w:rsid w:val="00E42F1F"/>
    <w:rsid w:val="00E4316C"/>
    <w:rsid w:val="00E45C3F"/>
    <w:rsid w:val="00E45CDF"/>
    <w:rsid w:val="00E463B1"/>
    <w:rsid w:val="00E46DD8"/>
    <w:rsid w:val="00E50F98"/>
    <w:rsid w:val="00E51B52"/>
    <w:rsid w:val="00E52FC8"/>
    <w:rsid w:val="00E552B6"/>
    <w:rsid w:val="00E567BC"/>
    <w:rsid w:val="00E56F7F"/>
    <w:rsid w:val="00E60A27"/>
    <w:rsid w:val="00E62482"/>
    <w:rsid w:val="00E62C88"/>
    <w:rsid w:val="00E63877"/>
    <w:rsid w:val="00E63948"/>
    <w:rsid w:val="00E6431E"/>
    <w:rsid w:val="00E65E9F"/>
    <w:rsid w:val="00E665D2"/>
    <w:rsid w:val="00E703EA"/>
    <w:rsid w:val="00E709FB"/>
    <w:rsid w:val="00E71A03"/>
    <w:rsid w:val="00E72097"/>
    <w:rsid w:val="00E724C1"/>
    <w:rsid w:val="00E72EE0"/>
    <w:rsid w:val="00E756C9"/>
    <w:rsid w:val="00E7631D"/>
    <w:rsid w:val="00E76F95"/>
    <w:rsid w:val="00E80082"/>
    <w:rsid w:val="00E80182"/>
    <w:rsid w:val="00E805B5"/>
    <w:rsid w:val="00E81907"/>
    <w:rsid w:val="00E8404F"/>
    <w:rsid w:val="00E863E8"/>
    <w:rsid w:val="00E8714C"/>
    <w:rsid w:val="00E87820"/>
    <w:rsid w:val="00E90D5B"/>
    <w:rsid w:val="00E92911"/>
    <w:rsid w:val="00E93DF3"/>
    <w:rsid w:val="00E9468B"/>
    <w:rsid w:val="00E94A22"/>
    <w:rsid w:val="00E966B8"/>
    <w:rsid w:val="00E968CC"/>
    <w:rsid w:val="00E96A93"/>
    <w:rsid w:val="00E97A87"/>
    <w:rsid w:val="00E97AA5"/>
    <w:rsid w:val="00EA0AD8"/>
    <w:rsid w:val="00EA210F"/>
    <w:rsid w:val="00EA23E0"/>
    <w:rsid w:val="00EA251B"/>
    <w:rsid w:val="00EA2A95"/>
    <w:rsid w:val="00EA3348"/>
    <w:rsid w:val="00EA45BC"/>
    <w:rsid w:val="00EA51D9"/>
    <w:rsid w:val="00EA5EFB"/>
    <w:rsid w:val="00EA6603"/>
    <w:rsid w:val="00EA6F83"/>
    <w:rsid w:val="00EA7F8D"/>
    <w:rsid w:val="00EA7FCF"/>
    <w:rsid w:val="00EB13E3"/>
    <w:rsid w:val="00EB26AE"/>
    <w:rsid w:val="00EB2980"/>
    <w:rsid w:val="00EB2FE8"/>
    <w:rsid w:val="00EB35B9"/>
    <w:rsid w:val="00EB485D"/>
    <w:rsid w:val="00EB4CD1"/>
    <w:rsid w:val="00EB619E"/>
    <w:rsid w:val="00EB64C1"/>
    <w:rsid w:val="00EB742A"/>
    <w:rsid w:val="00EB7779"/>
    <w:rsid w:val="00EC0060"/>
    <w:rsid w:val="00EC05C6"/>
    <w:rsid w:val="00EC1314"/>
    <w:rsid w:val="00EC17C7"/>
    <w:rsid w:val="00EC1C98"/>
    <w:rsid w:val="00EC20F7"/>
    <w:rsid w:val="00EC603B"/>
    <w:rsid w:val="00EC77CA"/>
    <w:rsid w:val="00ED0F48"/>
    <w:rsid w:val="00ED2F67"/>
    <w:rsid w:val="00ED36E8"/>
    <w:rsid w:val="00ED45DE"/>
    <w:rsid w:val="00ED4AF3"/>
    <w:rsid w:val="00ED4DFF"/>
    <w:rsid w:val="00ED581C"/>
    <w:rsid w:val="00ED5C3D"/>
    <w:rsid w:val="00ED5E13"/>
    <w:rsid w:val="00ED6FEF"/>
    <w:rsid w:val="00ED7B8B"/>
    <w:rsid w:val="00EE1282"/>
    <w:rsid w:val="00EE158D"/>
    <w:rsid w:val="00EE2867"/>
    <w:rsid w:val="00EE31BA"/>
    <w:rsid w:val="00EE3E10"/>
    <w:rsid w:val="00EE4B22"/>
    <w:rsid w:val="00EE5C27"/>
    <w:rsid w:val="00EE729D"/>
    <w:rsid w:val="00EE7662"/>
    <w:rsid w:val="00EF0CA9"/>
    <w:rsid w:val="00EF1D0A"/>
    <w:rsid w:val="00EF315C"/>
    <w:rsid w:val="00EF4620"/>
    <w:rsid w:val="00EF6822"/>
    <w:rsid w:val="00EF6E13"/>
    <w:rsid w:val="00EF6E52"/>
    <w:rsid w:val="00EF7976"/>
    <w:rsid w:val="00EF79D4"/>
    <w:rsid w:val="00F018DB"/>
    <w:rsid w:val="00F02BB9"/>
    <w:rsid w:val="00F036EF"/>
    <w:rsid w:val="00F04A0B"/>
    <w:rsid w:val="00F05452"/>
    <w:rsid w:val="00F061D6"/>
    <w:rsid w:val="00F07172"/>
    <w:rsid w:val="00F10347"/>
    <w:rsid w:val="00F137B1"/>
    <w:rsid w:val="00F14AB2"/>
    <w:rsid w:val="00F15929"/>
    <w:rsid w:val="00F15ABE"/>
    <w:rsid w:val="00F15E9E"/>
    <w:rsid w:val="00F16E58"/>
    <w:rsid w:val="00F17799"/>
    <w:rsid w:val="00F2076D"/>
    <w:rsid w:val="00F208A9"/>
    <w:rsid w:val="00F21041"/>
    <w:rsid w:val="00F22769"/>
    <w:rsid w:val="00F23766"/>
    <w:rsid w:val="00F2685F"/>
    <w:rsid w:val="00F26E75"/>
    <w:rsid w:val="00F2783B"/>
    <w:rsid w:val="00F27EAB"/>
    <w:rsid w:val="00F30F20"/>
    <w:rsid w:val="00F312FD"/>
    <w:rsid w:val="00F3163C"/>
    <w:rsid w:val="00F32E17"/>
    <w:rsid w:val="00F34BDA"/>
    <w:rsid w:val="00F36DF7"/>
    <w:rsid w:val="00F40BA8"/>
    <w:rsid w:val="00F41657"/>
    <w:rsid w:val="00F420CC"/>
    <w:rsid w:val="00F42211"/>
    <w:rsid w:val="00F446E6"/>
    <w:rsid w:val="00F44EC6"/>
    <w:rsid w:val="00F45012"/>
    <w:rsid w:val="00F46306"/>
    <w:rsid w:val="00F46FA4"/>
    <w:rsid w:val="00F478D3"/>
    <w:rsid w:val="00F50351"/>
    <w:rsid w:val="00F50639"/>
    <w:rsid w:val="00F521F4"/>
    <w:rsid w:val="00F542EF"/>
    <w:rsid w:val="00F54A24"/>
    <w:rsid w:val="00F5540E"/>
    <w:rsid w:val="00F57995"/>
    <w:rsid w:val="00F6052A"/>
    <w:rsid w:val="00F608D3"/>
    <w:rsid w:val="00F61888"/>
    <w:rsid w:val="00F61E77"/>
    <w:rsid w:val="00F620F4"/>
    <w:rsid w:val="00F63139"/>
    <w:rsid w:val="00F6388F"/>
    <w:rsid w:val="00F64800"/>
    <w:rsid w:val="00F64BEB"/>
    <w:rsid w:val="00F64C6F"/>
    <w:rsid w:val="00F66BF4"/>
    <w:rsid w:val="00F700E0"/>
    <w:rsid w:val="00F707DB"/>
    <w:rsid w:val="00F70DE7"/>
    <w:rsid w:val="00F70EC9"/>
    <w:rsid w:val="00F71024"/>
    <w:rsid w:val="00F736E1"/>
    <w:rsid w:val="00F74C89"/>
    <w:rsid w:val="00F81022"/>
    <w:rsid w:val="00F81109"/>
    <w:rsid w:val="00F81130"/>
    <w:rsid w:val="00F812F0"/>
    <w:rsid w:val="00F821DE"/>
    <w:rsid w:val="00F8272F"/>
    <w:rsid w:val="00F827F4"/>
    <w:rsid w:val="00F84B91"/>
    <w:rsid w:val="00F85B8C"/>
    <w:rsid w:val="00F8720C"/>
    <w:rsid w:val="00F87309"/>
    <w:rsid w:val="00F90D76"/>
    <w:rsid w:val="00F922EA"/>
    <w:rsid w:val="00F92564"/>
    <w:rsid w:val="00F9340F"/>
    <w:rsid w:val="00F94D68"/>
    <w:rsid w:val="00F95A3C"/>
    <w:rsid w:val="00FA30C1"/>
    <w:rsid w:val="00FA42C9"/>
    <w:rsid w:val="00FB1AC4"/>
    <w:rsid w:val="00FB4300"/>
    <w:rsid w:val="00FB6013"/>
    <w:rsid w:val="00FC1384"/>
    <w:rsid w:val="00FC2C6A"/>
    <w:rsid w:val="00FC2D20"/>
    <w:rsid w:val="00FC3D56"/>
    <w:rsid w:val="00FC44CF"/>
    <w:rsid w:val="00FC5C0D"/>
    <w:rsid w:val="00FC6647"/>
    <w:rsid w:val="00FC7B7F"/>
    <w:rsid w:val="00FD06C9"/>
    <w:rsid w:val="00FD0E56"/>
    <w:rsid w:val="00FD1151"/>
    <w:rsid w:val="00FD1978"/>
    <w:rsid w:val="00FD3927"/>
    <w:rsid w:val="00FD4163"/>
    <w:rsid w:val="00FD5521"/>
    <w:rsid w:val="00FD5EFD"/>
    <w:rsid w:val="00FD67DD"/>
    <w:rsid w:val="00FD7689"/>
    <w:rsid w:val="00FE1210"/>
    <w:rsid w:val="00FE33EF"/>
    <w:rsid w:val="00FE37EE"/>
    <w:rsid w:val="00FE4309"/>
    <w:rsid w:val="00FE4CC7"/>
    <w:rsid w:val="00FE7FC2"/>
    <w:rsid w:val="00FF26DB"/>
    <w:rsid w:val="00FF2968"/>
    <w:rsid w:val="00FF4926"/>
    <w:rsid w:val="00FF51FC"/>
    <w:rsid w:val="00FF5F56"/>
    <w:rsid w:val="00FF7765"/>
    <w:rsid w:val="00FF7FC4"/>
    <w:rsid w:val="013A58BC"/>
    <w:rsid w:val="041D2B07"/>
    <w:rsid w:val="053F0438"/>
    <w:rsid w:val="07402F7B"/>
    <w:rsid w:val="078D64F8"/>
    <w:rsid w:val="0908348F"/>
    <w:rsid w:val="09210B9D"/>
    <w:rsid w:val="093843F8"/>
    <w:rsid w:val="09446903"/>
    <w:rsid w:val="099C1892"/>
    <w:rsid w:val="09EE32BA"/>
    <w:rsid w:val="0AB30906"/>
    <w:rsid w:val="0B63274E"/>
    <w:rsid w:val="0B7613DD"/>
    <w:rsid w:val="0B842D43"/>
    <w:rsid w:val="0B891DAA"/>
    <w:rsid w:val="0BFC0B09"/>
    <w:rsid w:val="0DDE63C3"/>
    <w:rsid w:val="0E755ED2"/>
    <w:rsid w:val="10C341B7"/>
    <w:rsid w:val="11927181"/>
    <w:rsid w:val="121B2EC1"/>
    <w:rsid w:val="12935E5B"/>
    <w:rsid w:val="13537827"/>
    <w:rsid w:val="1408539C"/>
    <w:rsid w:val="151A419C"/>
    <w:rsid w:val="15B745F7"/>
    <w:rsid w:val="16B767EB"/>
    <w:rsid w:val="16D941B7"/>
    <w:rsid w:val="186E5B2F"/>
    <w:rsid w:val="19F13CFF"/>
    <w:rsid w:val="1E0E67AF"/>
    <w:rsid w:val="1F8529F5"/>
    <w:rsid w:val="22542C78"/>
    <w:rsid w:val="244F2726"/>
    <w:rsid w:val="246F4330"/>
    <w:rsid w:val="26F538D8"/>
    <w:rsid w:val="28DF7625"/>
    <w:rsid w:val="29B3140F"/>
    <w:rsid w:val="2E664FCF"/>
    <w:rsid w:val="2F152244"/>
    <w:rsid w:val="2F1A0122"/>
    <w:rsid w:val="31EC40B4"/>
    <w:rsid w:val="3597167B"/>
    <w:rsid w:val="375A3A49"/>
    <w:rsid w:val="39E77074"/>
    <w:rsid w:val="3E53510C"/>
    <w:rsid w:val="3FAE4998"/>
    <w:rsid w:val="409F3AF4"/>
    <w:rsid w:val="44221955"/>
    <w:rsid w:val="46027C26"/>
    <w:rsid w:val="46A02F00"/>
    <w:rsid w:val="46D46187"/>
    <w:rsid w:val="487E7805"/>
    <w:rsid w:val="4AC7235E"/>
    <w:rsid w:val="4CAE4AE8"/>
    <w:rsid w:val="4D4A2622"/>
    <w:rsid w:val="50760FF7"/>
    <w:rsid w:val="537C23CE"/>
    <w:rsid w:val="53DA05CE"/>
    <w:rsid w:val="5549282A"/>
    <w:rsid w:val="554A4DC8"/>
    <w:rsid w:val="555761DB"/>
    <w:rsid w:val="58A70B97"/>
    <w:rsid w:val="594D6DB2"/>
    <w:rsid w:val="599D08D0"/>
    <w:rsid w:val="5BF44F90"/>
    <w:rsid w:val="5BFA2AA8"/>
    <w:rsid w:val="5BFB641A"/>
    <w:rsid w:val="5C204C4E"/>
    <w:rsid w:val="5E0F5F6E"/>
    <w:rsid w:val="5E81043D"/>
    <w:rsid w:val="5EE82067"/>
    <w:rsid w:val="60813392"/>
    <w:rsid w:val="6225610B"/>
    <w:rsid w:val="67303FA4"/>
    <w:rsid w:val="675C324D"/>
    <w:rsid w:val="676D3184"/>
    <w:rsid w:val="698F2A63"/>
    <w:rsid w:val="69C23B2B"/>
    <w:rsid w:val="6C581318"/>
    <w:rsid w:val="6CF25E30"/>
    <w:rsid w:val="6E3C6345"/>
    <w:rsid w:val="6EEC2B40"/>
    <w:rsid w:val="6EF01A5D"/>
    <w:rsid w:val="6FD20B51"/>
    <w:rsid w:val="7106150E"/>
    <w:rsid w:val="7259092E"/>
    <w:rsid w:val="73A26945"/>
    <w:rsid w:val="74864FED"/>
    <w:rsid w:val="76285136"/>
    <w:rsid w:val="79065F9B"/>
    <w:rsid w:val="7A246E71"/>
    <w:rsid w:val="7FFF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54"/>
    <w:qFormat/>
    <w:uiPriority w:val="0"/>
    <w:pPr>
      <w:keepNext/>
      <w:keepLines/>
      <w:pageBreakBefore/>
      <w:widowControl/>
      <w:numPr>
        <w:ilvl w:val="0"/>
        <w:numId w:val="1"/>
      </w:numPr>
      <w:tabs>
        <w:tab w:val="left" w:pos="480"/>
      </w:tabs>
      <w:spacing w:before="120" w:after="120"/>
      <w:ind w:firstLineChars="0"/>
      <w:outlineLvl w:val="0"/>
    </w:pPr>
    <w:rPr>
      <w:rFonts w:eastAsia="黑体"/>
      <w:bCs/>
      <w:kern w:val="44"/>
      <w:sz w:val="28"/>
      <w:szCs w:val="28"/>
    </w:rPr>
  </w:style>
  <w:style w:type="paragraph" w:styleId="3">
    <w:name w:val="heading 2"/>
    <w:basedOn w:val="1"/>
    <w:next w:val="1"/>
    <w:link w:val="55"/>
    <w:qFormat/>
    <w:uiPriority w:val="0"/>
    <w:pPr>
      <w:keepNext/>
      <w:keepLines/>
      <w:widowControl/>
      <w:numPr>
        <w:ilvl w:val="1"/>
        <w:numId w:val="1"/>
      </w:numPr>
      <w:tabs>
        <w:tab w:val="left" w:pos="480"/>
      </w:tabs>
      <w:spacing w:before="120" w:after="120"/>
      <w:ind w:firstLineChars="0"/>
      <w:outlineLvl w:val="1"/>
    </w:pPr>
    <w:rPr>
      <w:rFonts w:eastAsia="黑体"/>
      <w:bCs/>
      <w:kern w:val="44"/>
      <w:sz w:val="28"/>
      <w:szCs w:val="28"/>
    </w:rPr>
  </w:style>
  <w:style w:type="paragraph" w:styleId="4">
    <w:name w:val="heading 3"/>
    <w:basedOn w:val="1"/>
    <w:next w:val="1"/>
    <w:link w:val="56"/>
    <w:qFormat/>
    <w:uiPriority w:val="9"/>
    <w:pPr>
      <w:keepNext/>
      <w:keepLines/>
      <w:widowControl/>
      <w:numPr>
        <w:ilvl w:val="2"/>
        <w:numId w:val="1"/>
      </w:numPr>
      <w:tabs>
        <w:tab w:val="left" w:pos="284"/>
        <w:tab w:val="left" w:pos="360"/>
      </w:tabs>
      <w:spacing w:before="120" w:after="120"/>
      <w:ind w:firstLineChars="0"/>
      <w:outlineLvl w:val="2"/>
    </w:pPr>
    <w:rPr>
      <w:rFonts w:eastAsia="黑体"/>
      <w:kern w:val="44"/>
      <w:sz w:val="28"/>
      <w:szCs w:val="28"/>
    </w:rPr>
  </w:style>
  <w:style w:type="paragraph" w:styleId="5">
    <w:name w:val="heading 4"/>
    <w:basedOn w:val="1"/>
    <w:next w:val="1"/>
    <w:link w:val="57"/>
    <w:qFormat/>
    <w:uiPriority w:val="0"/>
    <w:pPr>
      <w:keepNext/>
      <w:keepLines/>
      <w:widowControl/>
      <w:numPr>
        <w:ilvl w:val="3"/>
        <w:numId w:val="1"/>
      </w:numPr>
      <w:tabs>
        <w:tab w:val="left" w:pos="360"/>
        <w:tab w:val="left" w:pos="912"/>
      </w:tabs>
      <w:spacing w:before="120" w:after="120"/>
      <w:ind w:firstLineChars="0"/>
      <w:outlineLvl w:val="3"/>
    </w:pPr>
    <w:rPr>
      <w:rFonts w:eastAsia="黑体"/>
      <w:bCs/>
      <w:kern w:val="44"/>
      <w:sz w:val="28"/>
      <w:szCs w:val="28"/>
    </w:rPr>
  </w:style>
  <w:style w:type="paragraph" w:styleId="6">
    <w:name w:val="heading 5"/>
    <w:basedOn w:val="1"/>
    <w:next w:val="1"/>
    <w:link w:val="60"/>
    <w:qFormat/>
    <w:uiPriority w:val="0"/>
    <w:pPr>
      <w:keepNext/>
      <w:keepLines/>
      <w:widowControl/>
      <w:numPr>
        <w:ilvl w:val="4"/>
        <w:numId w:val="1"/>
      </w:numPr>
      <w:tabs>
        <w:tab w:val="left" w:pos="1080"/>
      </w:tabs>
      <w:spacing w:before="120" w:after="120"/>
      <w:ind w:firstLineChars="0"/>
      <w:outlineLvl w:val="4"/>
    </w:pPr>
    <w:rPr>
      <w:rFonts w:eastAsia="黑体"/>
      <w:bCs/>
      <w:kern w:val="44"/>
      <w:sz w:val="28"/>
      <w:szCs w:val="28"/>
    </w:rPr>
  </w:style>
  <w:style w:type="paragraph" w:styleId="7">
    <w:name w:val="heading 6"/>
    <w:basedOn w:val="1"/>
    <w:next w:val="1"/>
    <w:qFormat/>
    <w:uiPriority w:val="0"/>
    <w:pPr>
      <w:keepNext/>
      <w:keepLines/>
      <w:widowControl/>
      <w:numPr>
        <w:ilvl w:val="5"/>
        <w:numId w:val="1"/>
      </w:numPr>
      <w:tabs>
        <w:tab w:val="left" w:pos="1560"/>
      </w:tabs>
      <w:spacing w:before="120" w:after="120"/>
      <w:ind w:firstLineChars="0"/>
      <w:outlineLvl w:val="5"/>
    </w:pPr>
    <w:rPr>
      <w:rFonts w:eastAsia="黑体"/>
      <w:bCs/>
      <w:kern w:val="44"/>
      <w:sz w:val="28"/>
      <w:szCs w:val="28"/>
    </w:rPr>
  </w:style>
  <w:style w:type="paragraph" w:styleId="8">
    <w:name w:val="heading 7"/>
    <w:basedOn w:val="1"/>
    <w:next w:val="1"/>
    <w:qFormat/>
    <w:uiPriority w:val="0"/>
    <w:pPr>
      <w:keepNext/>
      <w:keepLines/>
      <w:widowControl/>
      <w:numPr>
        <w:ilvl w:val="6"/>
        <w:numId w:val="1"/>
      </w:numPr>
      <w:spacing w:before="120" w:after="120"/>
      <w:ind w:firstLineChars="0"/>
      <w:outlineLvl w:val="6"/>
    </w:pPr>
    <w:rPr>
      <w:rFonts w:eastAsia="黑体"/>
      <w:bCs/>
      <w:kern w:val="44"/>
      <w:sz w:val="28"/>
      <w:szCs w:val="28"/>
    </w:rPr>
  </w:style>
  <w:style w:type="paragraph" w:styleId="9">
    <w:name w:val="heading 8"/>
    <w:basedOn w:val="1"/>
    <w:next w:val="1"/>
    <w:link w:val="64"/>
    <w:qFormat/>
    <w:uiPriority w:val="0"/>
    <w:pPr>
      <w:keepNext/>
      <w:keepLines/>
      <w:widowControl/>
      <w:numPr>
        <w:ilvl w:val="7"/>
        <w:numId w:val="1"/>
      </w:numPr>
      <w:ind w:firstLineChars="0"/>
      <w:jc w:val="center"/>
      <w:outlineLvl w:val="7"/>
    </w:pPr>
    <w:rPr>
      <w:b/>
    </w:rPr>
  </w:style>
  <w:style w:type="paragraph" w:styleId="10">
    <w:name w:val="heading 9"/>
    <w:basedOn w:val="1"/>
    <w:next w:val="1"/>
    <w:link w:val="63"/>
    <w:qFormat/>
    <w:uiPriority w:val="0"/>
    <w:pPr>
      <w:keepLines/>
      <w:widowControl/>
      <w:numPr>
        <w:ilvl w:val="8"/>
        <w:numId w:val="1"/>
      </w:numPr>
      <w:ind w:firstLineChars="0"/>
      <w:jc w:val="center"/>
      <w:outlineLvl w:val="8"/>
    </w:pPr>
    <w:rPr>
      <w:b/>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firstLine="200"/>
    </w:pPr>
    <w:rPr>
      <w:rFonts w:ascii="宋体"/>
    </w:rPr>
  </w:style>
  <w:style w:type="paragraph" w:styleId="12">
    <w:name w:val="caption"/>
    <w:basedOn w:val="1"/>
    <w:next w:val="1"/>
    <w:qFormat/>
    <w:uiPriority w:val="0"/>
    <w:pPr>
      <w:spacing w:before="152" w:after="160"/>
      <w:ind w:firstLine="200"/>
    </w:pPr>
    <w:rPr>
      <w:rFonts w:ascii="Arial" w:hAnsi="Arial" w:eastAsia="黑体" w:cs="Arial"/>
      <w:sz w:val="20"/>
      <w:szCs w:val="20"/>
    </w:rPr>
  </w:style>
  <w:style w:type="paragraph" w:styleId="13">
    <w:name w:val="toc 5"/>
    <w:basedOn w:val="1"/>
    <w:next w:val="1"/>
    <w:semiHidden/>
    <w:qFormat/>
    <w:uiPriority w:val="0"/>
    <w:pPr>
      <w:ind w:left="1680" w:leftChars="800" w:firstLine="200"/>
    </w:pPr>
    <w:rPr>
      <w:rFonts w:ascii="宋体"/>
    </w:rPr>
  </w:style>
  <w:style w:type="paragraph" w:styleId="14">
    <w:name w:val="toc 3"/>
    <w:basedOn w:val="1"/>
    <w:next w:val="1"/>
    <w:qFormat/>
    <w:uiPriority w:val="39"/>
    <w:pPr>
      <w:tabs>
        <w:tab w:val="left" w:pos="1155"/>
        <w:tab w:val="right" w:leader="dot" w:pos="9380"/>
      </w:tabs>
      <w:ind w:left="220" w:leftChars="220" w:firstLine="0" w:firstLineChars="0"/>
      <w:jc w:val="both"/>
    </w:pPr>
  </w:style>
  <w:style w:type="paragraph" w:styleId="15">
    <w:name w:val="toc 8"/>
    <w:basedOn w:val="1"/>
    <w:next w:val="1"/>
    <w:semiHidden/>
    <w:qFormat/>
    <w:uiPriority w:val="0"/>
    <w:pPr>
      <w:ind w:left="2940" w:leftChars="1400" w:firstLine="200"/>
    </w:pPr>
    <w:rPr>
      <w:rFonts w:ascii="宋体"/>
    </w:rPr>
  </w:style>
  <w:style w:type="paragraph" w:styleId="16">
    <w:name w:val="Date"/>
    <w:basedOn w:val="1"/>
    <w:next w:val="1"/>
    <w:semiHidden/>
    <w:qFormat/>
    <w:uiPriority w:val="0"/>
    <w:pPr>
      <w:ind w:left="100" w:leftChars="2500"/>
    </w:pPr>
    <w:rPr>
      <w:rFonts w:ascii="仿宋_GB2312" w:eastAsia="仿宋_GB2312"/>
      <w:color w:val="FF0000"/>
      <w:kern w:val="0"/>
      <w:sz w:val="28"/>
      <w:szCs w:val="20"/>
    </w:rPr>
  </w:style>
  <w:style w:type="paragraph" w:styleId="17">
    <w:name w:val="Balloon Text"/>
    <w:basedOn w:val="1"/>
    <w:link w:val="53"/>
    <w:qFormat/>
    <w:uiPriority w:val="99"/>
    <w:pPr>
      <w:spacing w:line="240" w:lineRule="auto"/>
    </w:pPr>
    <w:rPr>
      <w:sz w:val="18"/>
      <w:szCs w:val="18"/>
    </w:rPr>
  </w:style>
  <w:style w:type="paragraph" w:styleId="18">
    <w:name w:val="footer"/>
    <w:basedOn w:val="1"/>
    <w:link w:val="35"/>
    <w:qFormat/>
    <w:uiPriority w:val="99"/>
    <w:pPr>
      <w:snapToGrid w:val="0"/>
      <w:spacing w:line="240" w:lineRule="auto"/>
      <w:ind w:firstLine="0" w:firstLineChars="0"/>
      <w:jc w:val="center"/>
    </w:pPr>
    <w:rPr>
      <w:sz w:val="18"/>
      <w:szCs w:val="18"/>
      <w:lang w:val="zh-CN"/>
    </w:rPr>
  </w:style>
  <w:style w:type="paragraph" w:styleId="19">
    <w:name w:val="header"/>
    <w:basedOn w:val="1"/>
    <w:link w:val="48"/>
    <w:qFormat/>
    <w:uiPriority w:val="99"/>
    <w:pPr>
      <w:pBdr>
        <w:bottom w:val="thickThinSmallGap" w:color="auto" w:sz="12" w:space="1"/>
      </w:pBdr>
      <w:snapToGrid w:val="0"/>
      <w:spacing w:after="100" w:afterLines="100"/>
      <w:ind w:firstLine="0" w:firstLineChars="0"/>
    </w:pPr>
    <w:rPr>
      <w:sz w:val="18"/>
      <w:szCs w:val="18"/>
    </w:rPr>
  </w:style>
  <w:style w:type="paragraph" w:styleId="20">
    <w:name w:val="toc 1"/>
    <w:basedOn w:val="1"/>
    <w:next w:val="1"/>
    <w:qFormat/>
    <w:uiPriority w:val="39"/>
    <w:pPr>
      <w:keepLines/>
      <w:widowControl/>
      <w:tabs>
        <w:tab w:val="left" w:pos="552"/>
        <w:tab w:val="right" w:leader="dot" w:pos="9380"/>
      </w:tabs>
      <w:spacing w:before="50" w:beforeLines="50" w:after="50" w:afterLines="50"/>
      <w:ind w:firstLine="0" w:firstLineChars="0"/>
      <w:jc w:val="both"/>
    </w:pPr>
    <w:rPr>
      <w:rFonts w:eastAsia="黑体"/>
    </w:rPr>
  </w:style>
  <w:style w:type="paragraph" w:styleId="21">
    <w:name w:val="toc 4"/>
    <w:basedOn w:val="1"/>
    <w:next w:val="1"/>
    <w:semiHidden/>
    <w:qFormat/>
    <w:uiPriority w:val="0"/>
    <w:pPr>
      <w:tabs>
        <w:tab w:val="left" w:pos="1785"/>
        <w:tab w:val="right" w:leader="dot" w:pos="9345"/>
      </w:tabs>
      <w:ind w:left="390" w:leftChars="390" w:firstLine="0" w:firstLineChars="0"/>
    </w:pPr>
    <w:rPr>
      <w:rFonts w:ascii="宋体"/>
    </w:rPr>
  </w:style>
  <w:style w:type="paragraph" w:styleId="22">
    <w:name w:val="toc 6"/>
    <w:basedOn w:val="1"/>
    <w:next w:val="1"/>
    <w:semiHidden/>
    <w:qFormat/>
    <w:uiPriority w:val="0"/>
    <w:pPr>
      <w:ind w:left="2100" w:leftChars="1000" w:firstLine="200"/>
    </w:pPr>
    <w:rPr>
      <w:rFonts w:ascii="宋体"/>
    </w:rPr>
  </w:style>
  <w:style w:type="paragraph" w:styleId="23">
    <w:name w:val="toc 2"/>
    <w:basedOn w:val="1"/>
    <w:next w:val="1"/>
    <w:qFormat/>
    <w:uiPriority w:val="39"/>
    <w:pPr>
      <w:keepLines/>
      <w:widowControl/>
      <w:tabs>
        <w:tab w:val="left" w:pos="735"/>
        <w:tab w:val="right" w:leader="dot" w:pos="9380"/>
      </w:tabs>
      <w:ind w:left="130" w:leftChars="130" w:firstLine="0" w:firstLineChars="0"/>
      <w:jc w:val="both"/>
    </w:pPr>
  </w:style>
  <w:style w:type="paragraph" w:styleId="24">
    <w:name w:val="toc 9"/>
    <w:basedOn w:val="1"/>
    <w:next w:val="1"/>
    <w:semiHidden/>
    <w:qFormat/>
    <w:uiPriority w:val="0"/>
    <w:pPr>
      <w:ind w:left="3360" w:leftChars="1600" w:firstLine="200"/>
    </w:pPr>
    <w:rPr>
      <w:rFonts w:ascii="宋体"/>
    </w:rPr>
  </w:style>
  <w:style w:type="paragraph" w:styleId="25">
    <w:name w:val="Normal (Web)"/>
    <w:basedOn w:val="1"/>
    <w:unhideWhenUsed/>
    <w:qFormat/>
    <w:uiPriority w:val="99"/>
    <w:pPr>
      <w:widowControl/>
      <w:spacing w:before="100" w:beforeAutospacing="1" w:after="100" w:afterAutospacing="1" w:line="240" w:lineRule="auto"/>
      <w:ind w:firstLine="0" w:firstLineChars="0"/>
    </w:pPr>
    <w:rPr>
      <w:rFonts w:ascii="宋体" w:hAnsi="宋体" w:cs="宋体"/>
      <w:kern w:val="0"/>
    </w:rPr>
  </w:style>
  <w:style w:type="paragraph" w:styleId="26">
    <w:name w:val="index 1"/>
    <w:basedOn w:val="1"/>
    <w:next w:val="1"/>
    <w:semiHidden/>
    <w:qFormat/>
    <w:uiPriority w:val="0"/>
    <w:pPr>
      <w:ind w:firstLine="0"/>
    </w:pPr>
  </w:style>
  <w:style w:type="character" w:styleId="29">
    <w:name w:val="Strong"/>
    <w:basedOn w:val="28"/>
    <w:qFormat/>
    <w:uiPriority w:val="0"/>
    <w:rPr>
      <w:b/>
    </w:rPr>
  </w:style>
  <w:style w:type="character" w:styleId="30">
    <w:name w:val="FollowedHyperlink"/>
    <w:unhideWhenUsed/>
    <w:qFormat/>
    <w:uiPriority w:val="99"/>
    <w:rPr>
      <w:color w:val="800080"/>
      <w:u w:val="single"/>
    </w:rPr>
  </w:style>
  <w:style w:type="character" w:styleId="31">
    <w:name w:val="Hyperlink"/>
    <w:qFormat/>
    <w:uiPriority w:val="99"/>
    <w:rPr>
      <w:color w:val="0000FF"/>
      <w:u w:val="single"/>
    </w:rPr>
  </w:style>
  <w:style w:type="paragraph" w:customStyle="1" w:styleId="32">
    <w:name w:val="图纸目录"/>
    <w:basedOn w:val="1"/>
    <w:link w:val="38"/>
    <w:qFormat/>
    <w:uiPriority w:val="0"/>
    <w:pPr>
      <w:numPr>
        <w:ilvl w:val="0"/>
        <w:numId w:val="2"/>
      </w:numPr>
      <w:tabs>
        <w:tab w:val="left" w:pos="840"/>
        <w:tab w:val="left" w:pos="960"/>
        <w:tab w:val="left" w:pos="1080"/>
        <w:tab w:val="right" w:pos="9379"/>
        <w:tab w:val="clear" w:pos="200"/>
      </w:tabs>
      <w:adjustRightInd w:val="0"/>
      <w:ind w:firstLine="0" w:firstLineChars="0"/>
      <w:jc w:val="both"/>
    </w:pPr>
    <w:rPr>
      <w:lang w:val="zh-CN"/>
    </w:rPr>
  </w:style>
  <w:style w:type="paragraph" w:customStyle="1" w:styleId="33">
    <w:name w:val="表格"/>
    <w:basedOn w:val="1"/>
    <w:semiHidden/>
    <w:qFormat/>
    <w:uiPriority w:val="0"/>
    <w:pPr>
      <w:widowControl/>
      <w:tabs>
        <w:tab w:val="left" w:pos="960"/>
        <w:tab w:val="left" w:pos="3828"/>
      </w:tabs>
      <w:overflowPunct w:val="0"/>
      <w:autoSpaceDE w:val="0"/>
      <w:autoSpaceDN w:val="0"/>
      <w:adjustRightInd w:val="0"/>
      <w:spacing w:line="400" w:lineRule="atLeast"/>
      <w:ind w:right="-108"/>
      <w:jc w:val="center"/>
      <w:textAlignment w:val="baseline"/>
    </w:pPr>
    <w:rPr>
      <w:rFonts w:ascii="宋体"/>
      <w:color w:val="000000"/>
      <w:kern w:val="0"/>
      <w:szCs w:val="20"/>
    </w:rPr>
  </w:style>
  <w:style w:type="paragraph" w:customStyle="1" w:styleId="34">
    <w:name w:val="表格内容五号"/>
    <w:basedOn w:val="1"/>
    <w:link w:val="51"/>
    <w:qFormat/>
    <w:uiPriority w:val="0"/>
    <w:pPr>
      <w:spacing w:line="240" w:lineRule="auto"/>
      <w:ind w:firstLine="0" w:firstLineChars="0"/>
      <w:jc w:val="center"/>
    </w:pPr>
    <w:rPr>
      <w:kern w:val="0"/>
      <w:sz w:val="21"/>
      <w:szCs w:val="21"/>
      <w:lang w:val="zh-CN"/>
    </w:rPr>
  </w:style>
  <w:style w:type="character" w:customStyle="1" w:styleId="35">
    <w:name w:val="页脚 Char"/>
    <w:link w:val="18"/>
    <w:qFormat/>
    <w:uiPriority w:val="99"/>
    <w:rPr>
      <w:kern w:val="2"/>
      <w:sz w:val="18"/>
      <w:szCs w:val="18"/>
    </w:rPr>
  </w:style>
  <w:style w:type="paragraph" w:customStyle="1" w:styleId="36">
    <w:name w:val="目录二级"/>
    <w:basedOn w:val="23"/>
    <w:qFormat/>
    <w:uiPriority w:val="0"/>
    <w:rPr>
      <w:rFonts w:cs="宋体"/>
    </w:rPr>
  </w:style>
  <w:style w:type="paragraph" w:customStyle="1" w:styleId="37">
    <w:name w:val="正文一级项目列"/>
    <w:basedOn w:val="1"/>
    <w:qFormat/>
    <w:uiPriority w:val="0"/>
    <w:pPr>
      <w:numPr>
        <w:ilvl w:val="0"/>
        <w:numId w:val="3"/>
      </w:numPr>
      <w:tabs>
        <w:tab w:val="left" w:pos="840"/>
      </w:tabs>
      <w:ind w:firstLine="0" w:firstLineChars="0"/>
    </w:pPr>
  </w:style>
  <w:style w:type="character" w:customStyle="1" w:styleId="38">
    <w:name w:val="图纸目录 Char Char"/>
    <w:link w:val="32"/>
    <w:qFormat/>
    <w:uiPriority w:val="0"/>
    <w:rPr>
      <w:kern w:val="2"/>
      <w:sz w:val="24"/>
      <w:szCs w:val="24"/>
      <w:lang w:val="zh-CN"/>
    </w:rPr>
  </w:style>
  <w:style w:type="paragraph" w:customStyle="1" w:styleId="39">
    <w:name w:val="正文二级项目列"/>
    <w:basedOn w:val="1"/>
    <w:qFormat/>
    <w:uiPriority w:val="0"/>
    <w:pPr>
      <w:numPr>
        <w:ilvl w:val="0"/>
        <w:numId w:val="4"/>
      </w:numPr>
      <w:tabs>
        <w:tab w:val="left" w:pos="840"/>
      </w:tabs>
      <w:ind w:firstLine="0" w:firstLineChars="0"/>
    </w:pPr>
  </w:style>
  <w:style w:type="paragraph" w:customStyle="1" w:styleId="40">
    <w:name w:val="正文三级项目列"/>
    <w:basedOn w:val="1"/>
    <w:qFormat/>
    <w:uiPriority w:val="0"/>
    <w:pPr>
      <w:numPr>
        <w:ilvl w:val="0"/>
        <w:numId w:val="5"/>
      </w:numPr>
      <w:tabs>
        <w:tab w:val="left" w:pos="840"/>
      </w:tabs>
      <w:ind w:firstLine="0" w:firstLineChars="0"/>
    </w:pPr>
  </w:style>
  <w:style w:type="table" w:customStyle="1" w:styleId="41">
    <w:name w:val="表格边框"/>
    <w:basedOn w:val="27"/>
    <w:qFormat/>
    <w:uiPriority w:val="0"/>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
    <w:trPr>
      <w:cantSplit/>
      <w:jc w:val="center"/>
    </w:trPr>
    <w:tcPr>
      <w:vAlign w:val="center"/>
    </w:tcPr>
  </w:style>
  <w:style w:type="paragraph" w:styleId="42">
    <w:name w:val="List Paragraph"/>
    <w:basedOn w:val="1"/>
    <w:link w:val="43"/>
    <w:qFormat/>
    <w:uiPriority w:val="0"/>
    <w:pPr>
      <w:snapToGrid w:val="0"/>
      <w:ind w:firstLine="420"/>
      <w:contextualSpacing/>
    </w:pPr>
    <w:rPr>
      <w:lang w:val="zh-CN"/>
    </w:rPr>
  </w:style>
  <w:style w:type="character" w:customStyle="1" w:styleId="43">
    <w:name w:val="列出段落 Char1"/>
    <w:link w:val="42"/>
    <w:qFormat/>
    <w:uiPriority w:val="0"/>
    <w:rPr>
      <w:kern w:val="2"/>
      <w:sz w:val="24"/>
      <w:szCs w:val="24"/>
    </w:rPr>
  </w:style>
  <w:style w:type="paragraph" w:customStyle="1" w:styleId="44">
    <w:name w:val="目录三级"/>
    <w:basedOn w:val="14"/>
    <w:qFormat/>
    <w:uiPriority w:val="0"/>
    <w:rPr>
      <w:rFonts w:cs="宋体"/>
    </w:rPr>
  </w:style>
  <w:style w:type="paragraph" w:customStyle="1" w:styleId="45">
    <w:name w:val="目录标题"/>
    <w:basedOn w:val="1"/>
    <w:qFormat/>
    <w:uiPriority w:val="0"/>
    <w:pPr>
      <w:keepNext/>
      <w:keepLines/>
      <w:widowControl/>
      <w:spacing w:before="240" w:beforeLines="100" w:after="240" w:afterLines="100" w:line="240" w:lineRule="auto"/>
      <w:ind w:firstLine="0" w:firstLineChars="0"/>
      <w:jc w:val="center"/>
    </w:pPr>
    <w:rPr>
      <w:rFonts w:eastAsia="黑体" w:cs="宋体"/>
      <w:color w:val="000000"/>
      <w:spacing w:val="200"/>
      <w:kern w:val="0"/>
      <w:sz w:val="32"/>
      <w:szCs w:val="32"/>
    </w:rPr>
  </w:style>
  <w:style w:type="paragraph" w:customStyle="1" w:styleId="46">
    <w:name w:val="目录一级"/>
    <w:basedOn w:val="20"/>
    <w:qFormat/>
    <w:uiPriority w:val="0"/>
  </w:style>
  <w:style w:type="paragraph" w:customStyle="1" w:styleId="47">
    <w:name w:val="表格内容小五"/>
    <w:basedOn w:val="34"/>
    <w:qFormat/>
    <w:uiPriority w:val="0"/>
    <w:rPr>
      <w:sz w:val="18"/>
      <w:szCs w:val="18"/>
    </w:rPr>
  </w:style>
  <w:style w:type="character" w:customStyle="1" w:styleId="48">
    <w:name w:val="页眉 Char"/>
    <w:link w:val="19"/>
    <w:qFormat/>
    <w:uiPriority w:val="99"/>
    <w:rPr>
      <w:rFonts w:eastAsia="宋体"/>
      <w:kern w:val="2"/>
      <w:sz w:val="18"/>
      <w:szCs w:val="18"/>
      <w:lang w:val="en-US" w:eastAsia="zh-CN" w:bidi="ar-SA"/>
    </w:rPr>
  </w:style>
  <w:style w:type="paragraph" w:customStyle="1" w:styleId="49">
    <w:name w:val="图纸编号"/>
    <w:basedOn w:val="32"/>
    <w:qFormat/>
    <w:uiPriority w:val="0"/>
    <w:pPr>
      <w:numPr>
        <w:numId w:val="0"/>
      </w:numPr>
      <w:jc w:val="right"/>
    </w:pPr>
    <w:rPr>
      <w:rFonts w:cs="宋体"/>
    </w:rPr>
  </w:style>
  <w:style w:type="paragraph" w:customStyle="1" w:styleId="50">
    <w:name w:val="样式 目录 2 + 左侧:  1.3 字符"/>
    <w:basedOn w:val="23"/>
    <w:qFormat/>
    <w:uiPriority w:val="0"/>
    <w:pPr>
      <w:ind w:left="312"/>
    </w:pPr>
    <w:rPr>
      <w:rFonts w:cs="宋体"/>
      <w:szCs w:val="20"/>
    </w:rPr>
  </w:style>
  <w:style w:type="character" w:customStyle="1" w:styleId="51">
    <w:name w:val="表格内容五号 Char"/>
    <w:link w:val="34"/>
    <w:qFormat/>
    <w:uiPriority w:val="0"/>
    <w:rPr>
      <w:rFonts w:cs="Arial Unicode MS"/>
      <w:sz w:val="21"/>
      <w:szCs w:val="21"/>
    </w:rPr>
  </w:style>
  <w:style w:type="character" w:customStyle="1" w:styleId="52">
    <w:name w:val="apple-converted-space"/>
    <w:qFormat/>
    <w:uiPriority w:val="0"/>
  </w:style>
  <w:style w:type="character" w:customStyle="1" w:styleId="53">
    <w:name w:val="批注框文本 Char"/>
    <w:link w:val="17"/>
    <w:qFormat/>
    <w:uiPriority w:val="99"/>
    <w:rPr>
      <w:kern w:val="2"/>
      <w:sz w:val="18"/>
      <w:szCs w:val="18"/>
    </w:rPr>
  </w:style>
  <w:style w:type="character" w:customStyle="1" w:styleId="54">
    <w:name w:val="标题 1 Char"/>
    <w:link w:val="2"/>
    <w:qFormat/>
    <w:uiPriority w:val="0"/>
    <w:rPr>
      <w:rFonts w:eastAsia="黑体"/>
      <w:bCs/>
      <w:kern w:val="44"/>
      <w:sz w:val="28"/>
      <w:szCs w:val="28"/>
    </w:rPr>
  </w:style>
  <w:style w:type="character" w:customStyle="1" w:styleId="55">
    <w:name w:val="标题 2 Char"/>
    <w:link w:val="3"/>
    <w:qFormat/>
    <w:uiPriority w:val="0"/>
    <w:rPr>
      <w:rFonts w:eastAsia="黑体"/>
      <w:bCs/>
      <w:kern w:val="44"/>
      <w:sz w:val="28"/>
      <w:szCs w:val="28"/>
    </w:rPr>
  </w:style>
  <w:style w:type="character" w:customStyle="1" w:styleId="56">
    <w:name w:val="标题 3 Char"/>
    <w:link w:val="4"/>
    <w:qFormat/>
    <w:uiPriority w:val="9"/>
    <w:rPr>
      <w:rFonts w:eastAsia="黑体"/>
      <w:kern w:val="44"/>
      <w:sz w:val="28"/>
      <w:szCs w:val="28"/>
    </w:rPr>
  </w:style>
  <w:style w:type="character" w:customStyle="1" w:styleId="57">
    <w:name w:val="标题 4 Char"/>
    <w:link w:val="5"/>
    <w:qFormat/>
    <w:uiPriority w:val="0"/>
    <w:rPr>
      <w:rFonts w:eastAsia="黑体"/>
      <w:bCs/>
      <w:kern w:val="44"/>
      <w:sz w:val="28"/>
      <w:szCs w:val="28"/>
    </w:rPr>
  </w:style>
  <w:style w:type="paragraph" w:customStyle="1" w:styleId="58">
    <w:name w:val="TOC 标题1"/>
    <w:basedOn w:val="2"/>
    <w:next w:val="1"/>
    <w:unhideWhenUsed/>
    <w:qFormat/>
    <w:uiPriority w:val="39"/>
    <w:pPr>
      <w:pageBreakBefore w:val="0"/>
      <w:numPr>
        <w:numId w:val="0"/>
      </w:numPr>
      <w:tabs>
        <w:tab w:val="clear" w:pos="480"/>
      </w:tabs>
      <w:spacing w:before="480" w:after="0" w:line="276" w:lineRule="auto"/>
      <w:outlineLvl w:val="9"/>
    </w:pPr>
    <w:rPr>
      <w:rFonts w:ascii="Cambria" w:hAnsi="Cambria" w:eastAsia="宋体"/>
      <w:b/>
      <w:color w:val="365F91"/>
      <w:kern w:val="0"/>
    </w:rPr>
  </w:style>
  <w:style w:type="character" w:customStyle="1" w:styleId="59">
    <w:name w:val="列出段落 Char"/>
    <w:qFormat/>
    <w:uiPriority w:val="0"/>
    <w:rPr>
      <w:rFonts w:ascii="Calibri" w:hAnsi="Calibri" w:eastAsia="宋体" w:cs="Times New Roman"/>
    </w:rPr>
  </w:style>
  <w:style w:type="character" w:customStyle="1" w:styleId="60">
    <w:name w:val="标题 5 Char"/>
    <w:link w:val="6"/>
    <w:qFormat/>
    <w:uiPriority w:val="0"/>
    <w:rPr>
      <w:rFonts w:eastAsia="黑体"/>
      <w:bCs/>
      <w:kern w:val="44"/>
      <w:sz w:val="28"/>
      <w:szCs w:val="28"/>
    </w:rPr>
  </w:style>
  <w:style w:type="paragraph" w:customStyle="1" w:styleId="61">
    <w:name w:val="二级标题"/>
    <w:basedOn w:val="4"/>
    <w:link w:val="62"/>
    <w:qFormat/>
    <w:uiPriority w:val="0"/>
    <w:pPr>
      <w:numPr>
        <w:ilvl w:val="0"/>
        <w:numId w:val="6"/>
      </w:numPr>
      <w:spacing w:before="100" w:beforeAutospacing="1" w:after="100" w:afterAutospacing="1" w:line="240" w:lineRule="auto"/>
      <w:outlineLvl w:val="1"/>
    </w:pPr>
  </w:style>
  <w:style w:type="character" w:customStyle="1" w:styleId="62">
    <w:name w:val="二级标题 字符"/>
    <w:link w:val="61"/>
    <w:qFormat/>
    <w:uiPriority w:val="0"/>
    <w:rPr>
      <w:rFonts w:eastAsia="黑体"/>
      <w:kern w:val="44"/>
      <w:sz w:val="28"/>
      <w:szCs w:val="28"/>
    </w:rPr>
  </w:style>
  <w:style w:type="character" w:customStyle="1" w:styleId="63">
    <w:name w:val="标题 9 Char"/>
    <w:link w:val="10"/>
    <w:qFormat/>
    <w:uiPriority w:val="0"/>
    <w:rPr>
      <w:b/>
      <w:kern w:val="2"/>
      <w:sz w:val="24"/>
      <w:szCs w:val="24"/>
    </w:rPr>
  </w:style>
  <w:style w:type="character" w:customStyle="1" w:styleId="64">
    <w:name w:val="标题 8 Char"/>
    <w:link w:val="9"/>
    <w:qFormat/>
    <w:uiPriority w:val="0"/>
    <w:rPr>
      <w:b/>
      <w:kern w:val="2"/>
      <w:sz w:val="24"/>
      <w:szCs w:val="24"/>
    </w:rPr>
  </w:style>
  <w:style w:type="character" w:customStyle="1" w:styleId="65">
    <w:name w:val="ask-title"/>
    <w:qFormat/>
    <w:uiPriority w:val="0"/>
  </w:style>
  <w:style w:type="paragraph" w:customStyle="1" w:styleId="66">
    <w:name w:val="封面上部"/>
    <w:basedOn w:val="1"/>
    <w:qFormat/>
    <w:uiPriority w:val="0"/>
    <w:pPr>
      <w:tabs>
        <w:tab w:val="left" w:pos="8280"/>
      </w:tabs>
      <w:adjustRightInd w:val="0"/>
      <w:ind w:right="26" w:firstLine="0" w:firstLineChars="0"/>
      <w:jc w:val="center"/>
      <w:outlineLvl w:val="0"/>
    </w:pPr>
    <w:rPr>
      <w:rFonts w:ascii="Arial" w:eastAsia="黑体"/>
      <w:color w:val="000000"/>
      <w:kern w:val="0"/>
      <w:sz w:val="32"/>
      <w:szCs w:val="20"/>
    </w:rPr>
  </w:style>
  <w:style w:type="paragraph" w:customStyle="1" w:styleId="67">
    <w:name w:val="font5"/>
    <w:basedOn w:val="1"/>
    <w:qFormat/>
    <w:uiPriority w:val="0"/>
    <w:pPr>
      <w:widowControl/>
      <w:spacing w:before="100" w:beforeAutospacing="1" w:after="100" w:afterAutospacing="1" w:line="240" w:lineRule="auto"/>
      <w:ind w:firstLine="0" w:firstLineChars="0"/>
    </w:pPr>
    <w:rPr>
      <w:rFonts w:ascii="宋体" w:hAnsi="宋体" w:cs="宋体"/>
      <w:kern w:val="0"/>
      <w:sz w:val="18"/>
      <w:szCs w:val="18"/>
    </w:rPr>
  </w:style>
  <w:style w:type="paragraph" w:customStyle="1" w:styleId="6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9">
    <w:name w:val="xl69"/>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7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73">
    <w:name w:val="xl73"/>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7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rPr>
  </w:style>
  <w:style w:type="paragraph" w:customStyle="1" w:styleId="7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rPr>
  </w:style>
  <w:style w:type="paragraph" w:customStyle="1" w:styleId="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rPr>
  </w:style>
  <w:style w:type="paragraph" w:customStyle="1" w:styleId="7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cs="宋体"/>
      <w:kern w:val="0"/>
    </w:rPr>
  </w:style>
  <w:style w:type="paragraph" w:customStyle="1" w:styleId="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b/>
      <w:bCs/>
      <w:kern w:val="0"/>
    </w:rPr>
  </w:style>
  <w:style w:type="paragraph" w:customStyle="1" w:styleId="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81">
    <w:name w:val="font0"/>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2"/>
      <w:szCs w:val="22"/>
    </w:rPr>
  </w:style>
  <w:style w:type="paragraph" w:customStyle="1" w:styleId="82">
    <w:name w:val="font6"/>
    <w:basedOn w:val="1"/>
    <w:qFormat/>
    <w:uiPriority w:val="0"/>
    <w:pPr>
      <w:widowControl/>
      <w:spacing w:before="100" w:beforeAutospacing="1" w:after="100" w:afterAutospacing="1" w:line="240" w:lineRule="auto"/>
      <w:ind w:firstLine="0" w:firstLineChars="0"/>
    </w:pPr>
    <w:rPr>
      <w:rFonts w:ascii="宋体" w:hAnsi="宋体" w:cs="宋体"/>
      <w:kern w:val="0"/>
      <w:sz w:val="18"/>
      <w:szCs w:val="18"/>
    </w:rPr>
  </w:style>
  <w:style w:type="paragraph" w:customStyle="1" w:styleId="83">
    <w:name w:val="font7"/>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2"/>
      <w:szCs w:val="22"/>
    </w:rPr>
  </w:style>
  <w:style w:type="paragraph" w:customStyle="1" w:styleId="84">
    <w:name w:val="font8"/>
    <w:basedOn w:val="1"/>
    <w:qFormat/>
    <w:uiPriority w:val="0"/>
    <w:pPr>
      <w:widowControl/>
      <w:spacing w:before="100" w:beforeAutospacing="1" w:after="100" w:afterAutospacing="1" w:line="240" w:lineRule="auto"/>
      <w:ind w:firstLine="0" w:firstLineChars="0"/>
    </w:pPr>
    <w:rPr>
      <w:rFonts w:ascii="Tahoma" w:hAnsi="Tahoma" w:cs="Tahoma"/>
      <w:kern w:val="0"/>
      <w:sz w:val="18"/>
      <w:szCs w:val="18"/>
    </w:rPr>
  </w:style>
  <w:style w:type="paragraph" w:customStyle="1" w:styleId="85">
    <w:name w:val="xl22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rPr>
  </w:style>
  <w:style w:type="paragraph" w:customStyle="1" w:styleId="86">
    <w:name w:val="xl22872"/>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87">
    <w:name w:val="xl22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88">
    <w:name w:val="xl22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89">
    <w:name w:val="xl228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0">
    <w:name w:val="xl228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91">
    <w:name w:val="xl228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2">
    <w:name w:val="xl228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3">
    <w:name w:val="xl228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4">
    <w:name w:val="xl228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5">
    <w:name w:val="xl228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6">
    <w:name w:val="xl228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7">
    <w:name w:val="xl228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8">
    <w:name w:val="xl228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9">
    <w:name w:val="xl228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00">
    <w:name w:val="xl228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1">
    <w:name w:val="xl228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02">
    <w:name w:val="xl228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03">
    <w:name w:val="xl228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4">
    <w:name w:val="xl228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05">
    <w:name w:val="xl228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rPr>
  </w:style>
  <w:style w:type="paragraph" w:customStyle="1" w:styleId="10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rPr>
  </w:style>
  <w:style w:type="paragraph" w:customStyle="1" w:styleId="10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b/>
      <w:bCs/>
      <w:kern w:val="0"/>
    </w:rPr>
  </w:style>
  <w:style w:type="paragraph" w:customStyle="1" w:styleId="10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09">
    <w:name w:val="font9"/>
    <w:basedOn w:val="1"/>
    <w:qFormat/>
    <w:uiPriority w:val="0"/>
    <w:pPr>
      <w:widowControl/>
      <w:spacing w:before="100" w:beforeAutospacing="1" w:after="100" w:afterAutospacing="1" w:line="240" w:lineRule="auto"/>
      <w:ind w:firstLine="0" w:firstLineChars="0"/>
    </w:pPr>
    <w:rPr>
      <w:rFonts w:ascii="Calibri" w:hAnsi="Calibri" w:cs="宋体"/>
      <w:color w:val="000000"/>
      <w:kern w:val="0"/>
      <w:sz w:val="20"/>
      <w:szCs w:val="20"/>
    </w:rPr>
  </w:style>
  <w:style w:type="paragraph" w:customStyle="1" w:styleId="11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2">
    <w:name w:val="列出段落2"/>
    <w:basedOn w:val="1"/>
    <w:unhideWhenUsed/>
    <w:qFormat/>
    <w:uiPriority w:val="99"/>
    <w:pPr>
      <w:ind w:firstLine="420"/>
    </w:pPr>
    <w:rPr>
      <w:rFonts w:ascii="Calibri" w:hAnsi="Calibri"/>
      <w:sz w:val="21"/>
    </w:rPr>
  </w:style>
  <w:style w:type="paragraph" w:customStyle="1" w:styleId="113">
    <w:name w:val="文档正文"/>
    <w:basedOn w:val="1"/>
    <w:link w:val="114"/>
    <w:qFormat/>
    <w:uiPriority w:val="0"/>
    <w:pPr>
      <w:adjustRightInd w:val="0"/>
      <w:spacing w:line="440" w:lineRule="atLeast"/>
      <w:ind w:firstLine="567" w:firstLineChars="0"/>
      <w:jc w:val="both"/>
      <w:textAlignment w:val="baseline"/>
    </w:pPr>
    <w:rPr>
      <w:spacing w:val="4"/>
      <w:kern w:val="0"/>
      <w:szCs w:val="20"/>
    </w:rPr>
  </w:style>
  <w:style w:type="character" w:customStyle="1" w:styleId="114">
    <w:name w:val="文档正文 Char"/>
    <w:basedOn w:val="28"/>
    <w:link w:val="113"/>
    <w:qFormat/>
    <w:uiPriority w:val="0"/>
    <w:rPr>
      <w:spacing w:val="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6.emf"/><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5774;&#35745;&#25991;&#20214;&#26679;&#24335;&#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D500-49F0-4A3C-90BF-8DEA2AC6BEE6}">
  <ds:schemaRefs/>
</ds:datastoreItem>
</file>

<file path=docProps/app.xml><?xml version="1.0" encoding="utf-8"?>
<Properties xmlns="http://schemas.openxmlformats.org/officeDocument/2006/extended-properties" xmlns:vt="http://schemas.openxmlformats.org/officeDocument/2006/docPropsVTypes">
  <Template>设计文件样式模版</Template>
  <Company>gci</Company>
  <Pages>24</Pages>
  <Words>5384</Words>
  <Characters>30692</Characters>
  <Lines>255</Lines>
  <Paragraphs>72</Paragraphs>
  <TotalTime>0</TotalTime>
  <ScaleCrop>false</ScaleCrop>
  <LinksUpToDate>false</LinksUpToDate>
  <CharactersWithSpaces>36004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2019-09-17T14:40:00Z</dcterms:created>
  <dc:creator>吴兢劢</dc:creator>
  <cp:lastModifiedBy>TongLiang</cp:lastModifiedBy>
  <cp:lastPrinted>2018-06-13T03:29:00Z</cp:lastPrinted>
  <dcterms:modified xsi:type="dcterms:W3CDTF">2024-12-25T03:27:45Z</dcterms:modified>
  <dc:title>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ADB5901C9F9E4DE7BA6C127B0DB7D57F</vt:lpwstr>
  </property>
</Properties>
</file>