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重庆市铜梁区人民政府</w:t>
      </w:r>
    </w:p>
    <w:p>
      <w:pPr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  <w:t>印发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《重庆市铜梁区“三线一单”生态环境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分区管控调整方案（2023年）》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的通知</w:t>
      </w:r>
    </w:p>
    <w:p>
      <w:pPr>
        <w:tabs>
          <w:tab w:val="left" w:pos="7521"/>
        </w:tabs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铜府发〔2024〕7号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各镇人民政府、街道办事处，区政府各部门，有关单位：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现将《重庆市铜梁区“三线一单”生态环境分区管控调整方案（2023年）》印发给你们，请认真抓好贯彻落实。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ind w:firstLine="4467" w:firstLineChars="1396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重庆市铜梁区人民政府</w:t>
      </w:r>
    </w:p>
    <w:p>
      <w:pPr>
        <w:spacing w:line="579" w:lineRule="exact"/>
        <w:ind w:firstLine="5062" w:firstLineChars="1582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2024年6月18日 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重庆市铜梁区“三线一单”生态环境分区</w:t>
      </w:r>
    </w:p>
    <w:p>
      <w:pPr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管控调整方案（2023年）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实施“三线一单”（生态保护红线、环境质量底线、资源利用上线和生态环境准入清单）生态环境分区管控制度，是新时代贯彻落实习近平生态文明思想、深入打好污染防治攻坚战、加强生态环境源头防控的重要举措。为推动实现生态环境分区域差异化精准管控，落实“十四五”环境管理目标和国土空间规划要求，衔接最新“三区三线”成果，提升成果时效性和针对性，结合我区实际系统调整“三线一单”生态环境分区管控成果，形成与我区高质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量发展和高水平保护相适应的“三线一单”生态环境分区管控体系。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一、调整原则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（一）坚持底线约束。坚持以生态功能不降低、环境质量不下降、资源环境承载能力不突破为底线，落实生态环境分区管控硬约束，严格禁止降低要求、弱化管控的调整。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强化空间管控。结合“十四五”环境管理目标和国土空间规划成果，优化调整生态保护红线及一般生态空间、环境质量底线、资源利用上线的生态环境管控要求，完善以环境管控单元为基础的空间管控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突出分类准入。以调整后的环境管控单元为单位，从空间布局约束、污染物排放管控、环境风险防控、资源利用效率等维度，优化调整全区生态环境准入清单，强化刚性约束，突出生态环境准入清单的针对性、有效性、实用性和可操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Toc24215755"/>
      <w:r>
        <w:rPr>
          <w:rFonts w:hint="default" w:ascii="Times New Roman" w:hAnsi="Times New Roman" w:eastAsia="方正仿宋_GBK" w:cs="Times New Roman"/>
          <w:sz w:val="32"/>
          <w:szCs w:val="32"/>
        </w:rPr>
        <w:t>到2025年，生态系统质量和稳定性进一步提升，生产生活方式绿色转型成效显著，能源资源利用效率不断提高，生态环境质量持续改善，主要污染物排放总量持续减少，环境突出问题得到有效治理，环境风险得到有效管控，生态环境治理体系和治理能力现代化水平明显提升，城乡人居环境更加优美，长江上游重要生态屏障更加巩固，推进美丽铜梁建设取得重大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到2035年，广泛形成绿色生产生活方式，节约资源和保护生态环境的空间格局、产业结构总体形成，碳排放达峰后稳中有降，生态环境根本好转，长江上游重要生态屏障全面筑牢，产城景文深度融合，美丽铜梁基本建成，实现人与自然和谐共生，建成实力雄厚、特色鲜明、城乡融合、生态宜居、人民幸福的“双百”城市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三、调整要求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环境管控单元调整要求。以系统化集成为基础，基于生态保护红线与一般生态空间、水环境管控分区、大气环境管控分区、土壤环境风险管控分区、资源管控分区等调整结果，科学调整优先、重点和一般三类环境管控单元，分区分类实施精细化管控，将部分重点管控单元进一步细分。原则上优先保护单元的空间格局应保持基本稳定，重点管控单元的空间格局应与环境治理格局相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生态环境准入清单调整要求。生态环境准入清单管理要求应保持一定的延续性，保持“市级总体管控要求—区县总体管控要求—单元管控要求”三个层级框架，以区域生态环境质量改善为核心，聚焦生态环境准入清单实施中发现的问题，坚持目标和问题导向，调整全区生态环境准入清单。产业准入和生态环境管理相关的法律法规、政策文件等新增、修订、废止的，依法依规同步调整生态环境准入清单；环境要素分区管控要求调整的，同步调整生态环境准入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四、调整结果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（一）环境管控单元调整结果。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调整后，全区环境管控单元个数不发生改变，仍为17个。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优先保护单元：由10个调整为8个，面积占比由17.89%调整为15.70%，较上一轮减少2.19%。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重点管控单元：由4个调整为6个，面积占比由47.12%调整为48.50%，较上一轮增加1.38%。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一般管控单元：个数不发生改变，仍为3个，面积占比由34.99%调整为35.80%，较上一轮增加0.81%。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（二）生态环境准入清单调整结果。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区结合调整后环境管控单元的生态环境主要特征、突出问题和环境质量目标，以改善生态环境质量为导向，提出了具有针对性、可操作性的管控要求。调整后，全区总体管控要求共21条，引用重庆市总体管控要求9条，在原总体管控要求基础上删除2条、修改6条、新增4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五、实施保障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（一）组织保障。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区生态环境局牵头组织全区“三线一单”发布、实施、更新调整和宣传工作，区级有关部门、单位和镇街结合本单位职能职责做好全区“三线一单”实施工作，并积极参与评估、更新调整和宣传工作。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（二）资金、技术保障。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区生态环境局牵头组建长期稳定的专业技术团队，区财政局安排专项财政资金，切实保障“三线一单”实施、评估、更新调整、数据应用和维护等工作。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default" w:ascii="Times New Roman" w:hAnsi="Times New Roman" w:eastAsia="方正仿宋_GBK" w:cs="Times New Roman"/>
          <w:w w:val="9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w w:val="90"/>
          <w:sz w:val="32"/>
          <w:szCs w:val="32"/>
        </w:rPr>
        <w:t>1.重庆市铜梁区环境管控单元调整结果分布图（2023年）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884" w:leftChars="760" w:hanging="288" w:hangingChars="100"/>
        <w:textAlignment w:val="auto"/>
        <w:rPr>
          <w:rFonts w:hint="default" w:ascii="Times New Roman" w:hAnsi="Times New Roman" w:eastAsia="方正仿宋_GBK" w:cs="Times New Roman"/>
          <w:w w:val="9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0"/>
          <w:sz w:val="32"/>
          <w:szCs w:val="32"/>
        </w:rPr>
        <w:t>2.重庆市铜梁区环境管控单元调整结果统计表（2023年）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884" w:leftChars="760" w:hanging="288" w:hangingChars="100"/>
        <w:textAlignment w:val="auto"/>
        <w:rPr>
          <w:rFonts w:hint="default" w:ascii="Times New Roman" w:hAnsi="Times New Roman" w:eastAsia="方正仿宋_GBK" w:cs="Times New Roman"/>
          <w:w w:val="9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0"/>
          <w:sz w:val="32"/>
          <w:szCs w:val="32"/>
        </w:rPr>
        <w:t>3.重庆市铜梁区生态环境准入清单总体管控要求（2023年）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pStyle w:val="5"/>
        <w:rPr>
          <w:rFonts w:hint="eastAsia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255270</wp:posOffset>
            </wp:positionV>
            <wp:extent cx="5367655" cy="7295515"/>
            <wp:effectExtent l="0" t="0" r="4445" b="635"/>
            <wp:wrapNone/>
            <wp:docPr id="3" name="图片 3" descr="铜梁制图（大气）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铜梁制图（大气）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7655" cy="729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  <w:bookmarkStart w:id="1" w:name="_GoBack"/>
      <w:bookmarkEnd w:id="1"/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2</w:t>
      </w:r>
    </w:p>
    <w:p>
      <w:pPr>
        <w:rPr>
          <w:rFonts w:hint="eastAsia"/>
        </w:rPr>
      </w:pPr>
      <w:r>
        <w:rPr>
          <w:rFonts w:hint="eastAsia" w:ascii="方正小标宋_GBK" w:eastAsia="方正小标宋_GBK"/>
          <w:sz w:val="36"/>
          <w:szCs w:val="36"/>
        </w:rPr>
        <w:t>重庆市铜梁区环境管控单元调整结果统计表（2023年）</w:t>
      </w:r>
    </w:p>
    <w:tbl>
      <w:tblPr>
        <w:tblStyle w:val="13"/>
        <w:tblW w:w="896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4141"/>
        <w:gridCol w:w="1636"/>
        <w:gridCol w:w="10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6"/>
                <w:kern w:val="0"/>
                <w:sz w:val="24"/>
                <w:szCs w:val="24"/>
                <w:lang w:bidi="ar"/>
              </w:rPr>
              <w:t>环境管控单元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6"/>
                <w:kern w:val="0"/>
                <w:sz w:val="24"/>
                <w:szCs w:val="24"/>
                <w:lang w:bidi="ar"/>
              </w:rPr>
              <w:t>编码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6"/>
                <w:kern w:val="0"/>
                <w:sz w:val="24"/>
                <w:szCs w:val="24"/>
                <w:lang w:bidi="ar"/>
              </w:rPr>
              <w:t>环境管控单元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6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6"/>
                <w:kern w:val="0"/>
                <w:sz w:val="24"/>
                <w:szCs w:val="24"/>
                <w:lang w:bidi="ar"/>
              </w:rPr>
              <w:t>环境管控单元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6"/>
                <w:kern w:val="0"/>
                <w:sz w:val="24"/>
                <w:szCs w:val="24"/>
                <w:lang w:bidi="ar"/>
              </w:rPr>
              <w:t>分类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-6"/>
                <w:kern w:val="0"/>
                <w:sz w:val="24"/>
                <w:szCs w:val="24"/>
                <w:lang w:bidi="ar"/>
              </w:rPr>
              <w:t>面积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ZH50015110001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铜梁区安居镇涪江安居提水工程水源地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优先保护单元1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211.08km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ZH50015110002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铜梁区双寨水库水源地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优先保护单元2</w:t>
            </w:r>
          </w:p>
        </w:tc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ZH50015110003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重庆毓青山国家森林公园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优先保护单元3</w:t>
            </w:r>
          </w:p>
        </w:tc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ZH50015110004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重庆市西温泉山森林公园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优先保护单元4</w:t>
            </w:r>
          </w:p>
        </w:tc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ZH50015110005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重庆铜梁安居国家湿地公园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优先保护单元5</w:t>
            </w:r>
          </w:p>
        </w:tc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ZH50015110006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铜梁区生态保护红线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优先保护单元6</w:t>
            </w:r>
          </w:p>
        </w:tc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ZH50015110007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西温泉－巴岳山风景名胜区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优先保护单元7</w:t>
            </w:r>
          </w:p>
        </w:tc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ZH50015110008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铜梁区一般生态空间-水土保持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优先保护单元8</w:t>
            </w:r>
          </w:p>
        </w:tc>
        <w:tc>
          <w:tcPr>
            <w:tcW w:w="10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ZH50015120001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铜梁区工业城镇重点管控单元－城区片区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重点管控单元1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650.31km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ZH50015120002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铜梁区工业城镇重点管控单元－旧县片区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重点管控单元2</w:t>
            </w:r>
          </w:p>
        </w:tc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ZH50015120003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铜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梁区工业城镇重点管控单元－大庙片区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重点管控单元3</w:t>
            </w:r>
          </w:p>
        </w:tc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ZH50015120004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铜梁区工业城镇重点管控单元－其他镇域片区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重点管控单元4</w:t>
            </w:r>
          </w:p>
        </w:tc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ZH50015120005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铜梁区重点管控单元-小安溪段家塘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重点管控单元5</w:t>
            </w:r>
          </w:p>
        </w:tc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ZH50015120006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铜梁区重点管控单元-淮远河众志桥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重点管控单元6</w:t>
            </w:r>
          </w:p>
        </w:tc>
        <w:tc>
          <w:tcPr>
            <w:tcW w:w="10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ZH50015130001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铜梁区一般管控单元-平滩河寿桥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一般管控单元1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480.30km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ZH50015130002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铜梁区一般管控单元－琼江安居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一般管控单元2</w:t>
            </w:r>
          </w:p>
        </w:tc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ZH50015130003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铜梁区一般管控单元－琼江中和铜梁段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一般管控单元3</w:t>
            </w:r>
          </w:p>
        </w:tc>
        <w:tc>
          <w:tcPr>
            <w:tcW w:w="10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pStyle w:val="5"/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  <w:sectPr>
          <w:type w:val="continuous"/>
          <w:pgSz w:w="11906" w:h="16838"/>
          <w:pgMar w:top="1962" w:right="1474" w:bottom="184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5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3</w:t>
      </w:r>
    </w:p>
    <w:p>
      <w:pPr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重庆市铜梁区生态环境准入清单总体管控要求（2023年）</w:t>
      </w:r>
    </w:p>
    <w:tbl>
      <w:tblPr>
        <w:tblStyle w:val="13"/>
        <w:tblpPr w:leftFromText="180" w:rightFromText="180" w:vertAnchor="text" w:horzAnchor="page" w:tblpX="1662" w:tblpY="312"/>
        <w:tblOverlap w:val="never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Cs/>
                <w:spacing w:val="-6"/>
                <w:sz w:val="24"/>
              </w:rPr>
            </w:pPr>
            <w:r>
              <w:rPr>
                <w:rFonts w:ascii="Times New Roman" w:hAnsi="Times New Roman" w:eastAsia="方正黑体_GBK"/>
                <w:bCs/>
                <w:spacing w:val="-6"/>
                <w:sz w:val="24"/>
              </w:rPr>
              <w:t>管控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Cs/>
                <w:spacing w:val="-6"/>
                <w:sz w:val="24"/>
              </w:rPr>
            </w:pPr>
            <w:r>
              <w:rPr>
                <w:rFonts w:ascii="Times New Roman" w:hAnsi="Times New Roman" w:eastAsia="方正黑体_GBK"/>
                <w:bCs/>
                <w:spacing w:val="-6"/>
                <w:sz w:val="24"/>
              </w:rPr>
              <w:t>类别</w:t>
            </w:r>
          </w:p>
        </w:tc>
        <w:tc>
          <w:tcPr>
            <w:tcW w:w="8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Cs/>
                <w:spacing w:val="-6"/>
                <w:sz w:val="24"/>
              </w:rPr>
            </w:pPr>
            <w:r>
              <w:rPr>
                <w:rFonts w:ascii="Times New Roman" w:hAnsi="Times New Roman" w:eastAsia="方正黑体_GBK"/>
                <w:bCs/>
                <w:spacing w:val="-6"/>
                <w:sz w:val="24"/>
              </w:rPr>
              <w:t>总体管控要求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>空间布局约束</w:t>
            </w:r>
          </w:p>
        </w:tc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 xml:space="preserve"> 深入贯彻习近平生态文明思想，筑牢长江上游重要生态屏障，推动优势区域重点发展、生态功能区重点保护、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fldChar w:fldCharType="begin"/>
            </w: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instrText xml:space="preserve"> HYPERLINK "http://guihuayun.com/baike/%E5%9F%8E%E4%B9%A1%E8%9E%8D%E5%90%88%E5%8F%91%E5%B1%95" \t "http://www.gui-hua.com/post/_blank" </w:instrTex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fldChar w:fldCharType="separate"/>
            </w: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>城乡融合发展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>，优化重点区域、流域、产业的空间布局。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val="zh-CN" w:bidi="ar"/>
              </w:rPr>
              <w:t xml:space="preserve"> 禁止在合规园区外新建、扩建化工、建材、制浆造纸等高污染项目（高污染项目严格按照《环境保护综合名录》“高污染”产品名录执行）。新建、改建、扩建“两高”项目须符合生态环境保护法律法规和相关法定规划，满足重点污染物排放总量控制、碳排放达峰目标、生态环境准入清单、相关规划环评和相应行业建设项目环境准入条件、环评文件审批原则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>第三条  新建、扩建电镀企业应布设在依法合规设立并经过规划环评的产业园区（铜梁高新区）。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>第四条  有效规范空间开发秩序，合理控制空间开发强度，切实将各类开发活动限制在资源环境承载能力之内，为构建高效协调可持续的国土空间开发格局奠定坚实基础。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>第五条  以减少邻避效应为出发点，优化工业用地空间布局，严格产业准入。推动铜梁高新区白土坝片区产业提档转型升级，未来重点发展科技研发、工业服务等生产性服务业；以铜梁高新区姜家岩片区紧邻金川大道、龙安大道一侧工业用地为重点区域，严格产业准入，邻近居住用地的地块不宜入驻铸造、表面处理等大气污染较重、噪声大或其他易扰民的工业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>第六条  以不新增用地规模、不增加污染物排放总量、不增大环境风险为原则，有序引导镇街工业减污降碳绿色发展。镇域内现有零散工业用地内允许建设“零土地”（不涉及新征建设用地）技术改造升级且“两不增”（不增加污染物排放总量、不增大环境风险）的建设项目，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val="zh-CN" w:bidi="ar"/>
              </w:rPr>
              <w:t>鼓励现有工业项目搬入工业集聚区。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>污染物排放控制</w:t>
            </w:r>
          </w:p>
        </w:tc>
        <w:tc>
          <w:tcPr>
            <w:tcW w:w="8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numPr>
                <w:ilvl w:val="0"/>
                <w:numId w:val="3"/>
              </w:numPr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 xml:space="preserve"> 严格落实国家及我市大气污染防控相关要求，对大气环境质量未达标地区，新建、改扩建项目实施更严格的污染物排放总量控制要求。严格落实区域削减要求，所在区域、流域控制单元环境质量未达到国家或者地方环境质量标准的，建设项目需提出有效的区域削减方案，主要污染物实行区域倍量削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numPr>
                <w:ilvl w:val="0"/>
                <w:numId w:val="3"/>
              </w:numPr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 xml:space="preserve"> 工业集聚区应当按照有关规定配套建设相应的污水集中处理设施，安装自动监测设备，工业集聚区内的企业向污水集中处理设施排放工业废水的，应当按照国家有关规定进行预处理，达到集中处理设施处理工艺要求后方可排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8"/>
              <w:widowControl w:val="0"/>
              <w:numPr>
                <w:ilvl w:val="0"/>
                <w:numId w:val="3"/>
              </w:numPr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 xml:space="preserve"> 固体废物污染环境防治坚持减量化、资源化和无害化的原则。产生工业固体废物的单位应当建立健全工业固体废物产生、收集、贮存、运输、利用、处置全过程的污染环境防治责任制度，建立工业固体废物管理台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8"/>
              <w:widowControl w:val="0"/>
              <w:numPr>
                <w:ilvl w:val="0"/>
                <w:numId w:val="3"/>
              </w:numPr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 xml:space="preserve"> 建设分类投放、分类收集、分类运输、分类处理的生活垃圾处理系统。合理布局生活垃圾分类收集站点，完善分类运输系统，加快补齐分类收集转运设施能力短板。强化“无废城市”制度、技术、市场、监管、全民行动“五大体系”建设，推进城市固体废物精细化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numPr>
                <w:ilvl w:val="0"/>
                <w:numId w:val="4"/>
              </w:numPr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val="zh-CN" w:bidi="ar"/>
              </w:rPr>
              <w:t>严格按照国家及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>重庆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val="zh-CN" w:bidi="ar"/>
              </w:rPr>
              <w:t>市有关规定，对水泥熟料行业新建、扩建项目实行产能等量或减量置换。国家或地方已出台超低排放要求的“两高”行业建设项目应满足超低排放要求。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numPr>
                <w:ilvl w:val="0"/>
                <w:numId w:val="5"/>
              </w:numPr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val="zh-CN" w:bidi="ar"/>
              </w:rPr>
              <w:t>新、改、扩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>建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val="zh-CN" w:bidi="ar"/>
              </w:rPr>
              <w:t>重点行业（电镀行业）重点重金属污染物排放执行“等量替代”原则；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>禁止新建、扩建铅蓄电池制造项目。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>第十三条  以工业涂装、塑料零件及其他塑料制品制造、新型储能等行业为抓手，深化挥发性有机物治理。推动工业涂装持续提升低（无）VOCs含量、低反应活性的原辅材料替代比例；提升塑料零件及其他塑料制品制造行业废物治理水平；新建、改建、扩建涉VOCs的项目，加强源头控制，无特别规定的需使用低（无）VOCs含量的原辅料，加强废气收集，安装高效治理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numPr>
                <w:ilvl w:val="0"/>
                <w:numId w:val="6"/>
              </w:numPr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 xml:space="preserve"> 以水泥、砖瓦、陶瓷等建材行业为重点，深入推进废气治理设施升级改造。深入推进燃煤锅炉、工业窑炉、水泥、砖瓦等重点行业废气治理措施设施升级改造；推进水泥、烧结砖瓦窑企业开展错峰生产，有序推动小、微型砖瓦窑企业关停或转型升级改造；推进重点工业企业燃煤锅炉清洁能源替代，禁止新建20蒸吨/小时以下的燃煤锅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>第十五条  以农村生活污水、农业种植、畜禽养殖和水产养殖为重点，推进农村面源污染防治。梯次推进农村生活污水治理，提高农村生活污水治理率。加快推进畜禽粪污综合利用和无害化处理设施建设，推进畜禽养殖场雨污分流、干湿分离改造。以30亩以上专用池塘养殖场为治理重点，梯次推进尾水治理措施。以化肥减量和农药减量为重点，从源头强化规模农业种植污染防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>第十六条  以提高污水收集处理率为核心，推进污水处理厂提标扩建和完善污水管网。推进新东城污水处理厂提标改造工程；以小安溪流域范围内大庙镇、永嘉镇、石鱼镇等城镇污水处理厂提标改造为重点，有序推进乡镇生活污水处理设施提标改造，在有条件的区域推进尾水深度治理及资源化利用；进一步完善中心城区、</w:t>
            </w: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>各镇街场镇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>污水管网，加快推进污水管网新建、老旧管网改造及雨污分流改造等工程。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val="zh-CN" w:bidi="ar"/>
              </w:rPr>
              <w:t>环境风险防控</w:t>
            </w:r>
          </w:p>
        </w:tc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 xml:space="preserve">第十七条  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val="zh-CN" w:bidi="ar"/>
              </w:rPr>
              <w:t>深入开展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>淮远河、小安溪等重点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val="zh-CN" w:bidi="ar"/>
              </w:rPr>
              <w:t>流域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>和城市级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val="zh-CN" w:bidi="ar"/>
              </w:rPr>
              <w:t>饮用水源突发环境事件风险评估，建立区域突发环境事件风险评估数据信息获取与动态更新机制。落实企业突发环境事件风险评估制度，推进突发环境事件风险分类分级管理，严格监管重大突发环境事件风险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>资源利用效率</w:t>
            </w:r>
          </w:p>
        </w:tc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8"/>
              <w:widowControl w:val="0"/>
              <w:numPr>
                <w:ilvl w:val="0"/>
                <w:numId w:val="7"/>
              </w:numPr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 xml:space="preserve"> 实施能源领域碳达峰碳中和行动，科学有序推动能源生产消费方式绿色低碳变革。实施可再生能源替代，减少化石能源消费。加强产业布局和能耗“双控”政策衔接，促进重点用能领域用能结构优化和能效提升。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8"/>
              <w:widowControl w:val="0"/>
              <w:numPr>
                <w:ilvl w:val="0"/>
                <w:numId w:val="7"/>
              </w:numPr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 xml:space="preserve"> 鼓励企业对标能耗限额标准先进值或国际先进水平，加快主要产品工艺升级与绿色化改造，推动工业窑炉、锅炉、电机、压缩机、泵、变压器等重点用能设备系统节能改造。推动现有企业、产业园生产过程清洁化转型，精准提升市场主体绿色低碳水平，引导园区低碳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8"/>
              <w:widowControl w:val="0"/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>第二十条  新建、扩建“两高”项目应采用先进适用的工艺技术和装备，单位产品物耗、能耗、水耗等达到清洁生产先进水平。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 w:val="0"/>
              <w:snapToGrid w:val="0"/>
              <w:spacing w:line="32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4"/>
                <w:szCs w:val="24"/>
                <w:lang w:bidi="ar"/>
              </w:rPr>
              <w:t>第二十一条  提升工业、城镇生活、农业节水能力，推进再生水循环利用，提高水资源利用效率。加强工业节水改造，限制高耗水行业发展，积极推动工业废水资源化利用，鼓励和引导工业企业中水回用。加强城镇节水，开展公共建筑节水改造、城镇供水管网漏损治理工程。强化农业节水增效，加强石梁水库、双寨水库等中型灌区续建配套与节水改造，加强农业水利基础设施建设，完善农田灌排工程体系。深入挖掘非常规水资源开发利用潜力，推进再生水、雨水等非常规水资源的开发利用。</w:t>
            </w:r>
          </w:p>
        </w:tc>
      </w:tr>
    </w:tbl>
    <w:p>
      <w:pPr>
        <w:rPr>
          <w:rFonts w:hint="default" w:ascii="Times New Roman" w:hAnsi="Times New Roman" w:eastAsia="方正黑体_GBK" w:cs="Times New Roman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sectPr>
      <w:type w:val="continuous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铜梁区人民政府办公室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8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铜梁区人民政府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6631AA"/>
    <w:multiLevelType w:val="singleLevel"/>
    <w:tmpl w:val="886631AA"/>
    <w:lvl w:ilvl="0" w:tentative="0">
      <w:start w:val="11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B4CAFDF9"/>
    <w:multiLevelType w:val="singleLevel"/>
    <w:tmpl w:val="B4CAFDF9"/>
    <w:lvl w:ilvl="0" w:tentative="0">
      <w:start w:val="12"/>
      <w:numFmt w:val="chineseCounting"/>
      <w:suff w:val="space"/>
      <w:lvlText w:val="第%1条"/>
      <w:lvlJc w:val="left"/>
      <w:rPr>
        <w:rFonts w:hint="eastAsia"/>
      </w:rPr>
    </w:lvl>
  </w:abstractNum>
  <w:abstractNum w:abstractNumId="2">
    <w:nsid w:val="B5811937"/>
    <w:multiLevelType w:val="singleLevel"/>
    <w:tmpl w:val="B5811937"/>
    <w:lvl w:ilvl="0" w:tentative="0">
      <w:start w:val="7"/>
      <w:numFmt w:val="chineseCounting"/>
      <w:suff w:val="space"/>
      <w:lvlText w:val="第%1条"/>
      <w:lvlJc w:val="left"/>
      <w:rPr>
        <w:rFonts w:hint="eastAsia"/>
      </w:rPr>
    </w:lvl>
  </w:abstractNum>
  <w:abstractNum w:abstractNumId="3">
    <w:nsid w:val="C413BB48"/>
    <w:multiLevelType w:val="singleLevel"/>
    <w:tmpl w:val="C413BB48"/>
    <w:lvl w:ilvl="0" w:tentative="0">
      <w:start w:val="14"/>
      <w:numFmt w:val="chineseCounting"/>
      <w:suff w:val="space"/>
      <w:lvlText w:val="第%1条"/>
      <w:lvlJc w:val="left"/>
      <w:rPr>
        <w:rFonts w:hint="eastAsia"/>
      </w:rPr>
    </w:lvl>
  </w:abstractNum>
  <w:abstractNum w:abstractNumId="4">
    <w:nsid w:val="FC2D2F9B"/>
    <w:multiLevelType w:val="singleLevel"/>
    <w:tmpl w:val="FC2D2F9B"/>
    <w:lvl w:ilvl="0" w:tentative="0">
      <w:start w:val="18"/>
      <w:numFmt w:val="chineseCounting"/>
      <w:suff w:val="space"/>
      <w:lvlText w:val="第%1条"/>
      <w:lvlJc w:val="left"/>
      <w:rPr>
        <w:rFonts w:hint="eastAsia"/>
      </w:rPr>
    </w:lvl>
  </w:abstractNum>
  <w:abstractNum w:abstractNumId="5">
    <w:nsid w:val="1E0BE254"/>
    <w:multiLevelType w:val="singleLevel"/>
    <w:tmpl w:val="1E0BE254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6">
    <w:nsid w:val="50CD1844"/>
    <w:multiLevelType w:val="multilevel"/>
    <w:tmpl w:val="50CD1844"/>
    <w:lvl w:ilvl="0" w:tentative="0">
      <w:start w:val="1"/>
      <w:numFmt w:val="decimal"/>
      <w:suff w:val="nothing"/>
      <w:lvlText w:val="%1."/>
      <w:lvlJc w:val="left"/>
      <w:pPr>
        <w:ind w:left="7840" w:firstLine="0"/>
      </w:pPr>
      <w:rPr>
        <w:rFonts w:hint="eastAsia"/>
      </w:rPr>
    </w:lvl>
    <w:lvl w:ilvl="1" w:tentative="0">
      <w:start w:val="1"/>
      <w:numFmt w:val="decimal"/>
      <w:pStyle w:val="2"/>
      <w:lvlText w:val="%1.%2."/>
      <w:lvlJc w:val="left"/>
      <w:pPr>
        <w:ind w:left="142" w:firstLine="0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WQwZmVlY2JmOWNkNGQ0MmZlMTAzZjQyZDUxOWYifQ=="/>
  </w:docVars>
  <w:rsids>
    <w:rsidRoot w:val="00172A27"/>
    <w:rsid w:val="019E71BD"/>
    <w:rsid w:val="019F25D3"/>
    <w:rsid w:val="021A1572"/>
    <w:rsid w:val="04032DF5"/>
    <w:rsid w:val="041C42DA"/>
    <w:rsid w:val="04B679C3"/>
    <w:rsid w:val="05D72A40"/>
    <w:rsid w:val="05F07036"/>
    <w:rsid w:val="06E00104"/>
    <w:rsid w:val="073C03F9"/>
    <w:rsid w:val="07D370CD"/>
    <w:rsid w:val="080F63D8"/>
    <w:rsid w:val="09341458"/>
    <w:rsid w:val="09767B83"/>
    <w:rsid w:val="098254C2"/>
    <w:rsid w:val="0A766EDE"/>
    <w:rsid w:val="0AD64BE8"/>
    <w:rsid w:val="0B0912D7"/>
    <w:rsid w:val="0B976FCC"/>
    <w:rsid w:val="0E025194"/>
    <w:rsid w:val="11824DD5"/>
    <w:rsid w:val="12CF2A40"/>
    <w:rsid w:val="13DF798C"/>
    <w:rsid w:val="152D2DCA"/>
    <w:rsid w:val="1533741A"/>
    <w:rsid w:val="17B6384F"/>
    <w:rsid w:val="187168EA"/>
    <w:rsid w:val="196673CA"/>
    <w:rsid w:val="19745F40"/>
    <w:rsid w:val="19C120F9"/>
    <w:rsid w:val="1AF66DC3"/>
    <w:rsid w:val="1B2F4AEE"/>
    <w:rsid w:val="1BEF0734"/>
    <w:rsid w:val="1CF734C9"/>
    <w:rsid w:val="1DE659C1"/>
    <w:rsid w:val="1DEC284C"/>
    <w:rsid w:val="1DEE74B5"/>
    <w:rsid w:val="1E6523AC"/>
    <w:rsid w:val="20482968"/>
    <w:rsid w:val="21E9722C"/>
    <w:rsid w:val="22440422"/>
    <w:rsid w:val="22BB4BBB"/>
    <w:rsid w:val="23CC5006"/>
    <w:rsid w:val="24F15E75"/>
    <w:rsid w:val="25AD3C7D"/>
    <w:rsid w:val="25C056C0"/>
    <w:rsid w:val="2AEB3417"/>
    <w:rsid w:val="2C526646"/>
    <w:rsid w:val="2E014089"/>
    <w:rsid w:val="2ECC35A1"/>
    <w:rsid w:val="306F1715"/>
    <w:rsid w:val="30C13596"/>
    <w:rsid w:val="31A15F24"/>
    <w:rsid w:val="31CA44AE"/>
    <w:rsid w:val="324A1681"/>
    <w:rsid w:val="32D61F8D"/>
    <w:rsid w:val="330C5393"/>
    <w:rsid w:val="35661FB7"/>
    <w:rsid w:val="35F81499"/>
    <w:rsid w:val="360610FF"/>
    <w:rsid w:val="36303833"/>
    <w:rsid w:val="36FB1DF0"/>
    <w:rsid w:val="391660F9"/>
    <w:rsid w:val="395347B5"/>
    <w:rsid w:val="396731FD"/>
    <w:rsid w:val="39A232A0"/>
    <w:rsid w:val="39E745AA"/>
    <w:rsid w:val="3B5A6BBB"/>
    <w:rsid w:val="3D713351"/>
    <w:rsid w:val="3E755D77"/>
    <w:rsid w:val="3E984CED"/>
    <w:rsid w:val="3EDA13A6"/>
    <w:rsid w:val="3FE00DF1"/>
    <w:rsid w:val="402C2282"/>
    <w:rsid w:val="412459B4"/>
    <w:rsid w:val="417B75E9"/>
    <w:rsid w:val="42AD3F1A"/>
    <w:rsid w:val="42F058B7"/>
    <w:rsid w:val="436109F6"/>
    <w:rsid w:val="441A38D4"/>
    <w:rsid w:val="44423BB8"/>
    <w:rsid w:val="44F72757"/>
    <w:rsid w:val="4504239D"/>
    <w:rsid w:val="4554136E"/>
    <w:rsid w:val="461C0ABE"/>
    <w:rsid w:val="47FE4616"/>
    <w:rsid w:val="48AC01DD"/>
    <w:rsid w:val="4A6A3863"/>
    <w:rsid w:val="4BC77339"/>
    <w:rsid w:val="4BEE59A3"/>
    <w:rsid w:val="4C9236C5"/>
    <w:rsid w:val="4E250A85"/>
    <w:rsid w:val="4ED04598"/>
    <w:rsid w:val="4FFD4925"/>
    <w:rsid w:val="505C172E"/>
    <w:rsid w:val="506405EA"/>
    <w:rsid w:val="50D9757B"/>
    <w:rsid w:val="52121C11"/>
    <w:rsid w:val="526D0619"/>
    <w:rsid w:val="52F46F0B"/>
    <w:rsid w:val="532B6A10"/>
    <w:rsid w:val="53D8014D"/>
    <w:rsid w:val="55CA4FA2"/>
    <w:rsid w:val="55E064E0"/>
    <w:rsid w:val="55F76E75"/>
    <w:rsid w:val="572C6D10"/>
    <w:rsid w:val="5868053D"/>
    <w:rsid w:val="586C730B"/>
    <w:rsid w:val="592E4E03"/>
    <w:rsid w:val="5B015277"/>
    <w:rsid w:val="5B0C7363"/>
    <w:rsid w:val="5C551B68"/>
    <w:rsid w:val="5D791EF1"/>
    <w:rsid w:val="5DC34279"/>
    <w:rsid w:val="5FCD688E"/>
    <w:rsid w:val="5FF9BDAA"/>
    <w:rsid w:val="5FFE5333"/>
    <w:rsid w:val="608816D1"/>
    <w:rsid w:val="609B0859"/>
    <w:rsid w:val="60EF4E7F"/>
    <w:rsid w:val="63C03711"/>
    <w:rsid w:val="64672DB6"/>
    <w:rsid w:val="648B0A32"/>
    <w:rsid w:val="650F50D0"/>
    <w:rsid w:val="65B576DE"/>
    <w:rsid w:val="665233C1"/>
    <w:rsid w:val="665B6306"/>
    <w:rsid w:val="66D542D2"/>
    <w:rsid w:val="68F8387C"/>
    <w:rsid w:val="69AC0D42"/>
    <w:rsid w:val="6AA06749"/>
    <w:rsid w:val="6AD9688B"/>
    <w:rsid w:val="6C74230A"/>
    <w:rsid w:val="6CEA2CFC"/>
    <w:rsid w:val="6D0E3F22"/>
    <w:rsid w:val="73885167"/>
    <w:rsid w:val="744E4660"/>
    <w:rsid w:val="74514836"/>
    <w:rsid w:val="753355A2"/>
    <w:rsid w:val="759F1C61"/>
    <w:rsid w:val="769F2DE8"/>
    <w:rsid w:val="76FDEB7C"/>
    <w:rsid w:val="77F74B8B"/>
    <w:rsid w:val="7924080A"/>
    <w:rsid w:val="79C65162"/>
    <w:rsid w:val="79D70BF9"/>
    <w:rsid w:val="7BB0353C"/>
    <w:rsid w:val="7C9011D9"/>
    <w:rsid w:val="7CF3074F"/>
    <w:rsid w:val="7DC651C5"/>
    <w:rsid w:val="7DF350ED"/>
    <w:rsid w:val="7EE23F9F"/>
    <w:rsid w:val="7F7574E4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link w:val="11"/>
    <w:semiHidden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 w:afterLines="0"/>
    </w:pPr>
    <w:rPr>
      <w:rFonts w:eastAsia="方正仿宋_GBK"/>
      <w:kern w:val="2"/>
      <w:sz w:val="32"/>
      <w:lang w:val="en-US" w:eastAsia="zh-CN" w:bidi="ar-SA"/>
    </w:rPr>
  </w:style>
  <w:style w:type="paragraph" w:styleId="6">
    <w:name w:val="Balloon Text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Char Char Char Char"/>
    <w:basedOn w:val="1"/>
    <w:link w:val="10"/>
    <w:qFormat/>
    <w:uiPriority w:val="0"/>
    <w:pPr>
      <w:widowControl/>
      <w:spacing w:after="160" w:afterLines="0" w:line="240" w:lineRule="exact"/>
      <w:jc w:val="left"/>
    </w:pPr>
    <w:rPr>
      <w:rFonts w:eastAsia="宋体"/>
      <w:kern w:val="2"/>
      <w:sz w:val="24"/>
      <w:szCs w:val="24"/>
      <w:lang w:val="en-US" w:eastAsia="zh-CN" w:bidi="ar-SA"/>
    </w:rPr>
  </w:style>
  <w:style w:type="character" w:styleId="12">
    <w:name w:val="Strong"/>
    <w:basedOn w:val="10"/>
    <w:qFormat/>
    <w:uiPriority w:val="0"/>
    <w:rPr>
      <w:b/>
      <w:bCs/>
    </w:rPr>
  </w:style>
  <w:style w:type="paragraph" w:customStyle="1" w:styleId="1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font51"/>
    <w:basedOn w:val="10"/>
    <w:qFormat/>
    <w:uiPriority w:val="0"/>
    <w:rPr>
      <w:rFonts w:hint="eastAsia" w:ascii="宋体" w:hAnsi="宋体" w:cs="宋体"/>
      <w:color w:val="000000"/>
      <w:sz w:val="16"/>
      <w:szCs w:val="16"/>
      <w:u w:val="none"/>
    </w:rPr>
  </w:style>
  <w:style w:type="character" w:customStyle="1" w:styleId="17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6"/>
      <w:szCs w:val="16"/>
      <w:u w:val="none"/>
    </w:rPr>
  </w:style>
  <w:style w:type="paragraph" w:customStyle="1" w:styleId="18">
    <w:name w:val="默认"/>
    <w:qFormat/>
    <w:uiPriority w:val="0"/>
    <w:rPr>
      <w:rFonts w:ascii="Helvetica" w:hAnsi="Helvetica" w:eastAsia="Helvetica" w:cs="Helvetica"/>
      <w:color w:val="000000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3348</Words>
  <Characters>3474</Characters>
  <Lines>1</Lines>
  <Paragraphs>1</Paragraphs>
  <TotalTime>3</TotalTime>
  <ScaleCrop>false</ScaleCrop>
  <LinksUpToDate>false</LinksUpToDate>
  <CharactersWithSpaces>3542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2022-05-12T00:46:00Z</cp:lastPrinted>
  <dcterms:modified xsi:type="dcterms:W3CDTF">2024-07-01T02:24:03Z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BB06FF69E224481EBDC57754CF217EA4</vt:lpwstr>
  </property>
</Properties>
</file>