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4053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_GBK" w:cs="Times New Roman"/>
          <w:sz w:val="44"/>
          <w:szCs w:val="44"/>
          <w:lang w:val="en-US" w:eastAsia="zh-CN"/>
        </w:rPr>
      </w:pPr>
    </w:p>
    <w:p w14:paraId="5F261E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 xml:space="preserve">  </w:t>
      </w:r>
    </w:p>
    <w:p w14:paraId="2994E60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重庆市铜梁区人民政府办公室</w:t>
      </w:r>
    </w:p>
    <w:p w14:paraId="3638F47B">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关于印发《重庆市铜梁区噪声敏感建筑物</w:t>
      </w:r>
    </w:p>
    <w:p w14:paraId="2537A61B">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方正小标宋_GBK" w:cs="MS Gothic"/>
          <w:sz w:val="44"/>
          <w:szCs w:val="44"/>
        </w:rPr>
      </w:pPr>
      <w:r>
        <w:rPr>
          <w:rFonts w:hint="default" w:ascii="Times New Roman" w:hAnsi="Times New Roman" w:eastAsia="方正小标宋_GBK" w:cs="Times New Roman"/>
          <w:sz w:val="44"/>
          <w:szCs w:val="44"/>
        </w:rPr>
        <w:t>集中区域划分方案（试行）》的通知</w:t>
      </w:r>
    </w:p>
    <w:p w14:paraId="3469BE7C">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铜府办发〔2025〕25号</w:t>
      </w:r>
    </w:p>
    <w:p w14:paraId="13F5AF87">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Times New Roman" w:hAnsi="Times New Roman" w:eastAsia="仿宋" w:cs="MS Gothic"/>
          <w:sz w:val="32"/>
          <w:szCs w:val="32"/>
        </w:rPr>
      </w:pPr>
    </w:p>
    <w:p w14:paraId="26968BAA">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相关镇人民政府、街道办事处，区政府有关部门、单位：</w:t>
      </w:r>
    </w:p>
    <w:p w14:paraId="06D2FC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《重庆市铜梁区噪声敏感建筑物集中区域划分方案（试行）》已经区十八届人民政府第149次常务会议审议通过，现印发给你们，请相关责任单位结合实际组织实施。</w:t>
      </w:r>
    </w:p>
    <w:p w14:paraId="2FBF994C">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outlineLvl w:val="9"/>
        <w:rPr>
          <w:rFonts w:hint="default" w:ascii="Times New Roman" w:hAnsi="Times New Roman" w:eastAsia="方正仿宋_GBK" w:cs="Times New Roman"/>
          <w:sz w:val="32"/>
          <w:szCs w:val="32"/>
        </w:rPr>
      </w:pPr>
    </w:p>
    <w:p w14:paraId="352753BF">
      <w:pPr>
        <w:pStyle w:val="7"/>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rPr>
      </w:pPr>
    </w:p>
    <w:p w14:paraId="66E6F276">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重庆市铜梁区人民政府    </w:t>
      </w:r>
    </w:p>
    <w:p w14:paraId="433656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30</w:t>
      </w:r>
      <w:r>
        <w:rPr>
          <w:rFonts w:hint="default" w:ascii="Times New Roman" w:hAnsi="Times New Roman" w:eastAsia="方正仿宋_GBK" w:cs="Times New Roman"/>
          <w:sz w:val="32"/>
          <w:szCs w:val="32"/>
        </w:rPr>
        <w:t>日</w:t>
      </w:r>
    </w:p>
    <w:p w14:paraId="296C17D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p>
    <w:p w14:paraId="37F87614">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p>
    <w:p w14:paraId="42600B5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p>
    <w:p w14:paraId="5897F9A9">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p>
    <w:p w14:paraId="1AC7159A">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p>
    <w:p w14:paraId="33BA97B7">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kern w:val="2"/>
          <w:sz w:val="32"/>
          <w:szCs w:val="32"/>
          <w:lang w:val="en-US" w:eastAsia="zh-CN" w:bidi="ar-SA"/>
        </w:rPr>
        <w:t>（此件公开发布）</w:t>
      </w:r>
    </w:p>
    <w:p w14:paraId="4C5E19A0">
      <w:pPr>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br w:type="page"/>
      </w:r>
    </w:p>
    <w:p w14:paraId="2C9C18BF">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_GBK" w:hAnsi="方正小标宋_GBK" w:eastAsia="方正小标宋_GBK" w:cs="方正小标宋_GBK"/>
          <w:sz w:val="44"/>
          <w:szCs w:val="44"/>
          <w:lang w:eastAsia="zh-CN"/>
        </w:rPr>
      </w:pPr>
    </w:p>
    <w:p w14:paraId="279FF366">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重庆市铜梁区噪声敏感建筑物集中区域</w:t>
      </w:r>
    </w:p>
    <w:p w14:paraId="36571AAE">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划分方案（试行）</w:t>
      </w:r>
    </w:p>
    <w:p w14:paraId="5A2C6119">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sz w:val="32"/>
          <w:szCs w:val="32"/>
          <w:lang w:eastAsia="zh-CN"/>
        </w:rPr>
      </w:pPr>
    </w:p>
    <w:p w14:paraId="67F9BEF0">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为贯彻落实《中华人民共和国</w:t>
      </w:r>
      <w:r>
        <w:rPr>
          <w:rFonts w:hint="eastAsia" w:ascii="Times New Roman" w:hAnsi="Times New Roman" w:cs="Times New Roman"/>
          <w:sz w:val="32"/>
          <w:szCs w:val="32"/>
          <w:lang w:eastAsia="zh-CN"/>
        </w:rPr>
        <w:t>生态环境法典</w:t>
      </w:r>
      <w:r>
        <w:rPr>
          <w:rFonts w:hint="default" w:ascii="Times New Roman" w:hAnsi="Times New Roman" w:eastAsia="方正仿宋_GBK" w:cs="Times New Roman"/>
          <w:sz w:val="32"/>
          <w:szCs w:val="32"/>
          <w:lang w:eastAsia="zh-CN"/>
        </w:rPr>
        <w:t>》《重庆市噪声污染防治办法》等有关要求，进一步做好铜梁区噪声敏感建筑物集中区域噪声污染防治工作，按照《重庆市噪声敏感建筑物集中区域划分技术规范实施细则（试行）》（渝环〔2023〕106号）等有关规定，结合《重庆市铜梁区声环境功能区划分调整方案》（铜府办〔2023〕17号）和铜梁区分区规划、铜梁区详细规划、土地利用现状等，编制本方案。</w:t>
      </w:r>
    </w:p>
    <w:p w14:paraId="1DA45333">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一、适用范围</w:t>
      </w:r>
    </w:p>
    <w:p w14:paraId="7C3D4777">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适用于重庆市铜梁区巴川街道、东城街道、南城街道、蒲吕街道、旧县街道，不含镇区域。</w:t>
      </w:r>
    </w:p>
    <w:p w14:paraId="38AD7F50">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二、术语及定义</w:t>
      </w:r>
    </w:p>
    <w:p w14:paraId="07CAB853">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（一）噪声敏感建筑物</w:t>
      </w:r>
    </w:p>
    <w:p w14:paraId="72A83412">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指用于居住、科学研究、医疗卫生、文化教育、机关团体办公、社会福利等需要保持安静的建筑物。</w:t>
      </w:r>
    </w:p>
    <w:p w14:paraId="074BC227">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（二）噪声敏感建筑物集中区域</w:t>
      </w:r>
    </w:p>
    <w:p w14:paraId="1207217C">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以用于居住、科学研究、医疗卫生、文化教育、机关团体办公、社会福利等需要保持安静的建筑物为主的区域。</w:t>
      </w:r>
    </w:p>
    <w:p w14:paraId="37747E10">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（三）噪声敏感建筑物临时扩展区</w:t>
      </w:r>
    </w:p>
    <w:p w14:paraId="03365E84">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噪声敏感建筑物集中区域周边直线200米范围内，或根据实际情况进行优化确定的范围内，如存在一定规模的建筑施工工地，则该范围自动划为噪声敏感建筑物临时扩展区，并按照噪声敏感建筑物集中区有关要求进行管理。若建筑施工工地采用有效降低噪声的施工工艺、设备等措施，或建筑施工工地完成施工，噪声敏感建筑物不再受建筑施工噪声影响，噪声敏感建筑物临时扩展区自动取消。</w:t>
      </w:r>
    </w:p>
    <w:p w14:paraId="16A25CC4">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三、划分依据</w:t>
      </w:r>
    </w:p>
    <w:p w14:paraId="04E86EC7">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（一）法律法规及规章</w:t>
      </w:r>
    </w:p>
    <w:p w14:paraId="530234F4">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（1）《中华人民共和国</w:t>
      </w:r>
      <w:r>
        <w:rPr>
          <w:rFonts w:hint="eastAsia" w:ascii="Times New Roman" w:hAnsi="Times New Roman" w:cs="Times New Roman"/>
          <w:sz w:val="32"/>
          <w:szCs w:val="32"/>
          <w:lang w:eastAsia="zh-CN"/>
        </w:rPr>
        <w:t>生态环境法典</w:t>
      </w:r>
      <w:r>
        <w:rPr>
          <w:rFonts w:hint="default" w:ascii="Times New Roman" w:hAnsi="Times New Roman" w:eastAsia="方正仿宋_GBK" w:cs="Times New Roman"/>
          <w:sz w:val="32"/>
          <w:szCs w:val="32"/>
          <w:lang w:eastAsia="zh-CN"/>
        </w:rPr>
        <w:t>》（</w:t>
      </w:r>
      <w:r>
        <w:rPr>
          <w:rFonts w:hint="eastAsia" w:ascii="Times New Roman" w:hAnsi="Times New Roman" w:cs="Times New Roman"/>
          <w:sz w:val="32"/>
          <w:szCs w:val="32"/>
          <w:lang w:eastAsia="zh-CN"/>
        </w:rPr>
        <w:t>中华人民共和国</w:t>
      </w:r>
      <w:r>
        <w:rPr>
          <w:rFonts w:hint="default" w:ascii="Times New Roman" w:hAnsi="Times New Roman" w:eastAsia="方正仿宋_GBK" w:cs="Times New Roman"/>
          <w:sz w:val="32"/>
          <w:szCs w:val="32"/>
          <w:lang w:eastAsia="zh-CN"/>
        </w:rPr>
        <w:t>主席令第</w:t>
      </w:r>
      <w:r>
        <w:rPr>
          <w:rFonts w:hint="eastAsia" w:ascii="Times New Roman" w:hAnsi="Times New Roman" w:cs="Times New Roman"/>
          <w:sz w:val="32"/>
          <w:szCs w:val="32"/>
          <w:lang w:eastAsia="zh-CN"/>
        </w:rPr>
        <w:t>七十</w:t>
      </w:r>
      <w:r>
        <w:rPr>
          <w:rFonts w:hint="default" w:ascii="Times New Roman" w:hAnsi="Times New Roman" w:eastAsia="方正仿宋_GBK" w:cs="Times New Roman"/>
          <w:sz w:val="32"/>
          <w:szCs w:val="32"/>
          <w:lang w:eastAsia="zh-CN"/>
        </w:rPr>
        <w:t>号）（自20</w:t>
      </w:r>
      <w:r>
        <w:rPr>
          <w:rFonts w:hint="eastAsia" w:ascii="Times New Roman" w:hAnsi="Times New Roman" w:cs="Times New Roman"/>
          <w:sz w:val="32"/>
          <w:szCs w:val="32"/>
          <w:lang w:val="en-US" w:eastAsia="zh-CN"/>
        </w:rPr>
        <w:t>26</w:t>
      </w:r>
      <w:r>
        <w:rPr>
          <w:rFonts w:hint="default" w:ascii="Times New Roman" w:hAnsi="Times New Roman" w:eastAsia="方正仿宋_GBK" w:cs="Times New Roman"/>
          <w:sz w:val="32"/>
          <w:szCs w:val="32"/>
          <w:lang w:eastAsia="zh-CN"/>
        </w:rPr>
        <w:t xml:space="preserve">年 </w:t>
      </w:r>
      <w:r>
        <w:rPr>
          <w:rFonts w:hint="eastAsia" w:ascii="Times New Roman" w:hAnsi="Times New Roman" w:cs="Times New Roman"/>
          <w:sz w:val="32"/>
          <w:szCs w:val="32"/>
          <w:lang w:val="en-US" w:eastAsia="zh-CN"/>
        </w:rPr>
        <w:t>8</w:t>
      </w:r>
      <w:r>
        <w:rPr>
          <w:rFonts w:hint="default" w:ascii="Times New Roman" w:hAnsi="Times New Roman" w:eastAsia="方正仿宋_GBK" w:cs="Times New Roman"/>
          <w:sz w:val="32"/>
          <w:szCs w:val="32"/>
          <w:lang w:eastAsia="zh-CN"/>
        </w:rPr>
        <w:t xml:space="preserve"> 月</w:t>
      </w:r>
      <w:r>
        <w:rPr>
          <w:rFonts w:hint="eastAsia" w:ascii="Times New Roman" w:hAnsi="Times New Roman" w:cs="Times New Roman"/>
          <w:sz w:val="32"/>
          <w:szCs w:val="32"/>
          <w:lang w:val="en-US" w:eastAsia="zh-CN"/>
        </w:rPr>
        <w:t>15</w:t>
      </w:r>
      <w:r>
        <w:rPr>
          <w:rFonts w:hint="default" w:ascii="Times New Roman" w:hAnsi="Times New Roman" w:eastAsia="方正仿宋_GBK" w:cs="Times New Roman"/>
          <w:sz w:val="32"/>
          <w:szCs w:val="32"/>
          <w:lang w:eastAsia="zh-CN"/>
        </w:rPr>
        <w:t>日起施行）；</w:t>
      </w:r>
    </w:p>
    <w:p w14:paraId="26CD35D2">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r>
        <w:rPr>
          <w:rFonts w:hint="eastAsia" w:ascii="Times New Roman" w:hAnsi="Times New Roman" w:cs="Times New Roman"/>
          <w:sz w:val="32"/>
          <w:szCs w:val="32"/>
          <w:lang w:val="en-US" w:eastAsia="zh-CN"/>
        </w:rPr>
        <w:t>2</w:t>
      </w:r>
      <w:r>
        <w:rPr>
          <w:rFonts w:hint="default" w:ascii="Times New Roman" w:hAnsi="Times New Roman" w:eastAsia="方正仿宋_GBK" w:cs="Times New Roman"/>
          <w:sz w:val="32"/>
          <w:szCs w:val="32"/>
          <w:lang w:eastAsia="zh-CN"/>
        </w:rPr>
        <w:t>）《“十四五”噪声污染防治行动计划》（环大气〔2023〕1号）；</w:t>
      </w:r>
    </w:p>
    <w:p w14:paraId="3E38820F">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r>
        <w:rPr>
          <w:rFonts w:hint="eastAsia" w:ascii="Times New Roman" w:hAnsi="Times New Roman" w:cs="Times New Roman"/>
          <w:sz w:val="32"/>
          <w:szCs w:val="32"/>
          <w:lang w:val="en-US" w:eastAsia="zh-CN"/>
        </w:rPr>
        <w:t>3</w:t>
      </w:r>
      <w:r>
        <w:rPr>
          <w:rFonts w:hint="default" w:ascii="Times New Roman" w:hAnsi="Times New Roman" w:eastAsia="方正仿宋_GBK" w:cs="Times New Roman"/>
          <w:sz w:val="32"/>
          <w:szCs w:val="32"/>
          <w:lang w:eastAsia="zh-CN"/>
        </w:rPr>
        <w:t>）《重庆市噪声污染防治办法》（重庆市人民政府令第363号）（自2024年2月1日起施行）；</w:t>
      </w:r>
    </w:p>
    <w:p w14:paraId="283BE82E">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r>
        <w:rPr>
          <w:rFonts w:hint="eastAsia" w:ascii="Times New Roman" w:hAnsi="Times New Roman" w:cs="Times New Roman"/>
          <w:sz w:val="32"/>
          <w:szCs w:val="32"/>
          <w:lang w:val="en-US" w:eastAsia="zh-CN"/>
        </w:rPr>
        <w:t>4</w:t>
      </w:r>
      <w:r>
        <w:rPr>
          <w:rFonts w:hint="default" w:ascii="Times New Roman" w:hAnsi="Times New Roman" w:eastAsia="方正仿宋_GBK" w:cs="Times New Roman"/>
          <w:sz w:val="32"/>
          <w:szCs w:val="32"/>
          <w:lang w:eastAsia="zh-CN"/>
        </w:rPr>
        <w:t>）《重庆市噪声污染防治实施方案（2024—2025年）》（渝环〔2024〕24号）。</w:t>
      </w:r>
    </w:p>
    <w:p w14:paraId="0975CF88">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（二）标准及政策性文件</w:t>
      </w:r>
    </w:p>
    <w:p w14:paraId="5453EC3E">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（1）《城市用地分类与规划建设用地标准》（GB 50137—2011）；</w:t>
      </w:r>
    </w:p>
    <w:p w14:paraId="2100A10F">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（2）《声环境质量标准》（GB 3096—2008）；</w:t>
      </w:r>
    </w:p>
    <w:p w14:paraId="7D9147F0">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（3）《土地利用现状分类》（GB/T 21010-2017）；</w:t>
      </w:r>
    </w:p>
    <w:p w14:paraId="15EDF266">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（4）《国土空间调查、规划、用途管制用地用海分类指南》（自然资发〔2023〕234号）；</w:t>
      </w:r>
    </w:p>
    <w:p w14:paraId="5CD778C8">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（5）《环境专题空间数据加工处理技术规范》（HJ 927—2017）；</w:t>
      </w:r>
    </w:p>
    <w:p w14:paraId="59723156">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（6）《重庆市噪声敏感建筑物集中区域划分技术规范实施细则（试行）》（渝环〔2023〕106号）；</w:t>
      </w:r>
    </w:p>
    <w:p w14:paraId="26C75AFD">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（7）《重庆市铜梁区声环境功能区划分调整方案》（铜府办〔2023〕17号）。</w:t>
      </w:r>
    </w:p>
    <w:p w14:paraId="69AE1C31">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（三）其他资料</w:t>
      </w:r>
    </w:p>
    <w:p w14:paraId="7D34809B">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（1）铜梁区国土空间分区规划、铜梁区详细规划数据库；</w:t>
      </w:r>
    </w:p>
    <w:p w14:paraId="79E8A477">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（2）铜梁区2023年变更调查；</w:t>
      </w:r>
    </w:p>
    <w:p w14:paraId="0B40356D">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（3）铜梁中心城区范围；</w:t>
      </w:r>
    </w:p>
    <w:p w14:paraId="5EC94888">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（4）铜梁行政区划界限。</w:t>
      </w:r>
    </w:p>
    <w:p w14:paraId="028E2B70">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四、划分原则</w:t>
      </w:r>
    </w:p>
    <w:p w14:paraId="5950980E">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sz w:val="32"/>
          <w:szCs w:val="32"/>
          <w:lang w:eastAsia="zh-CN"/>
        </w:rPr>
        <w:t>（一）尊重现状。</w:t>
      </w:r>
      <w:r>
        <w:rPr>
          <w:rFonts w:hint="default" w:ascii="Times New Roman" w:hAnsi="Times New Roman" w:eastAsia="方正仿宋_GBK" w:cs="Times New Roman"/>
          <w:sz w:val="32"/>
          <w:szCs w:val="32"/>
          <w:lang w:eastAsia="zh-CN"/>
        </w:rPr>
        <w:t>参考铜梁区国土空间分区规划及声环境功能区划分，以建筑物的实际使用功能现状为依据进行划分噪声敏感建筑物集中区域。</w:t>
      </w:r>
    </w:p>
    <w:p w14:paraId="610EE431">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（二）因地制宜。</w:t>
      </w:r>
      <w:r>
        <w:rPr>
          <w:rFonts w:hint="default" w:ascii="Times New Roman" w:hAnsi="Times New Roman" w:eastAsia="方正仿宋_GBK" w:cs="Times New Roman"/>
          <w:sz w:val="32"/>
          <w:szCs w:val="32"/>
          <w:lang w:eastAsia="zh-CN"/>
        </w:rPr>
        <w:t>综合考量实际地形特征或人口密度等因素，统筹划定噪声敏感建筑物集中区域。</w:t>
      </w:r>
    </w:p>
    <w:p w14:paraId="1E4563A8">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（三）边界清晰。</w:t>
      </w:r>
      <w:r>
        <w:rPr>
          <w:rFonts w:hint="default" w:ascii="Times New Roman" w:hAnsi="Times New Roman" w:eastAsia="方正仿宋_GBK" w:cs="Times New Roman"/>
          <w:sz w:val="32"/>
          <w:szCs w:val="32"/>
          <w:lang w:eastAsia="zh-CN"/>
        </w:rPr>
        <w:t>充分利用行政边界、交通干线（次干线及以上级别）、公园绿地、河流湖泊、自然地形等作为噪声敏感建筑物集中区域边界。</w:t>
      </w:r>
    </w:p>
    <w:p w14:paraId="1C674268">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五、划分结果</w:t>
      </w:r>
    </w:p>
    <w:p w14:paraId="3B32E001">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sz w:val="32"/>
          <w:szCs w:val="32"/>
          <w:lang w:eastAsia="zh-CN"/>
        </w:rPr>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r>
        <w:rPr>
          <w:rFonts w:hint="default" w:ascii="Times New Roman" w:hAnsi="Times New Roman" w:eastAsia="方正仿宋_GBK" w:cs="Times New Roman"/>
          <w:sz w:val="32"/>
          <w:szCs w:val="32"/>
          <w:lang w:eastAsia="zh-CN"/>
        </w:rPr>
        <w:t>重庆市铜梁区共划分9个噪声敏感建筑物集中区域，面积合计10.907平方千米。其中1、4、5、6、9号区域内有临时扩展区，共计12个，详见表1。</w:t>
      </w:r>
    </w:p>
    <w:p w14:paraId="54B14FFF">
      <w:pPr>
        <w:keepNext w:val="0"/>
        <w:keepLines w:val="0"/>
        <w:pageBreakBefore w:val="0"/>
        <w:widowControl w:val="0"/>
        <w:kinsoku/>
        <w:wordWrap/>
        <w:overflowPunct/>
        <w:topLinePunct w:val="0"/>
        <w:autoSpaceDE/>
        <w:autoSpaceDN/>
        <w:bidi w:val="0"/>
        <w:adjustRightInd w:val="0"/>
        <w:snapToGrid w:val="0"/>
        <w:spacing w:before="159" w:beforeLines="50" w:after="159" w:afterLines="50" w:line="579" w:lineRule="exact"/>
        <w:ind w:left="0" w:leftChars="0" w:right="0" w:rightChars="0" w:firstLine="0" w:firstLineChars="0"/>
        <w:jc w:val="left"/>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表1</w:t>
      </w:r>
    </w:p>
    <w:p w14:paraId="5024A868">
      <w:pPr>
        <w:ind w:firstLine="0" w:firstLineChars="0"/>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44"/>
          <w:szCs w:val="44"/>
        </w:rPr>
        <w:t>重庆市铜梁区噪声敏感建筑物集中区域详情表</w:t>
      </w:r>
    </w:p>
    <w:tbl>
      <w:tblPr>
        <w:tblStyle w:val="12"/>
        <w:tblW w:w="13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020"/>
        <w:gridCol w:w="4830"/>
        <w:gridCol w:w="1185"/>
        <w:gridCol w:w="1080"/>
        <w:gridCol w:w="1110"/>
        <w:gridCol w:w="2145"/>
        <w:gridCol w:w="1771"/>
      </w:tblGrid>
      <w:tr w14:paraId="645C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41" w:type="dxa"/>
            <w:vAlign w:val="center"/>
          </w:tcPr>
          <w:p w14:paraId="2E6C24A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方正黑体_GBK" w:hAnsi="方正黑体_GBK" w:eastAsia="方正黑体_GBK" w:cs="方正黑体_GBK"/>
                <w:snapToGrid/>
                <w:color w:val="auto"/>
                <w:spacing w:val="0"/>
                <w:kern w:val="2"/>
                <w:sz w:val="28"/>
                <w:szCs w:val="28"/>
                <w:lang w:val="en-US" w:eastAsia="zh-CN" w:bidi="ar-SA"/>
              </w:rPr>
            </w:pPr>
            <w:r>
              <w:rPr>
                <w:rFonts w:hint="eastAsia" w:ascii="方正黑体_GBK" w:hAnsi="方正黑体_GBK" w:eastAsia="方正黑体_GBK" w:cs="方正黑体_GBK"/>
                <w:snapToGrid/>
                <w:color w:val="auto"/>
                <w:spacing w:val="0"/>
                <w:kern w:val="2"/>
                <w:sz w:val="28"/>
                <w:szCs w:val="28"/>
                <w:lang w:val="en-US" w:eastAsia="zh-CN" w:bidi="ar-SA"/>
              </w:rPr>
              <w:t>名称</w:t>
            </w:r>
          </w:p>
        </w:tc>
        <w:tc>
          <w:tcPr>
            <w:tcW w:w="5850" w:type="dxa"/>
            <w:gridSpan w:val="2"/>
            <w:vAlign w:val="center"/>
          </w:tcPr>
          <w:p w14:paraId="6342759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方正黑体_GBK" w:hAnsi="方正黑体_GBK" w:eastAsia="方正黑体_GBK" w:cs="方正黑体_GBK"/>
                <w:snapToGrid/>
                <w:color w:val="auto"/>
                <w:spacing w:val="0"/>
                <w:kern w:val="2"/>
                <w:sz w:val="28"/>
                <w:szCs w:val="28"/>
                <w:lang w:val="en-US" w:eastAsia="zh-CN" w:bidi="ar-SA"/>
              </w:rPr>
            </w:pPr>
            <w:r>
              <w:rPr>
                <w:rFonts w:hint="eastAsia" w:ascii="方正黑体_GBK" w:hAnsi="方正黑体_GBK" w:eastAsia="方正黑体_GBK" w:cs="方正黑体_GBK"/>
                <w:snapToGrid/>
                <w:color w:val="auto"/>
                <w:spacing w:val="0"/>
                <w:kern w:val="2"/>
                <w:sz w:val="28"/>
                <w:szCs w:val="28"/>
                <w:lang w:val="en-US" w:eastAsia="zh-CN" w:bidi="ar-SA"/>
              </w:rPr>
              <w:t>主要建筑</w:t>
            </w:r>
          </w:p>
        </w:tc>
        <w:tc>
          <w:tcPr>
            <w:tcW w:w="1185" w:type="dxa"/>
            <w:vAlign w:val="center"/>
          </w:tcPr>
          <w:p w14:paraId="3338EC8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方正黑体_GBK" w:hAnsi="方正黑体_GBK" w:eastAsia="方正黑体_GBK" w:cs="方正黑体_GBK"/>
                <w:snapToGrid/>
                <w:color w:val="auto"/>
                <w:spacing w:val="0"/>
                <w:kern w:val="2"/>
                <w:sz w:val="28"/>
                <w:szCs w:val="28"/>
                <w:lang w:val="en-US" w:eastAsia="zh-CN" w:bidi="ar-SA"/>
              </w:rPr>
            </w:pPr>
            <w:r>
              <w:rPr>
                <w:rFonts w:hint="eastAsia" w:ascii="方正黑体_GBK" w:hAnsi="方正黑体_GBK" w:eastAsia="方正黑体_GBK" w:cs="方正黑体_GBK"/>
                <w:snapToGrid/>
                <w:color w:val="auto"/>
                <w:spacing w:val="0"/>
                <w:kern w:val="2"/>
                <w:sz w:val="28"/>
                <w:szCs w:val="28"/>
                <w:lang w:val="en-US" w:eastAsia="zh-CN" w:bidi="ar-SA"/>
              </w:rPr>
              <w:t>面积（km</w:t>
            </w:r>
            <w:r>
              <w:rPr>
                <w:rFonts w:hint="eastAsia" w:ascii="方正黑体_GBK" w:hAnsi="方正黑体_GBK" w:eastAsia="方正黑体_GBK" w:cs="方正黑体_GBK"/>
                <w:snapToGrid/>
                <w:color w:val="auto"/>
                <w:spacing w:val="0"/>
                <w:kern w:val="2"/>
                <w:sz w:val="28"/>
                <w:szCs w:val="28"/>
                <w:vertAlign w:val="superscript"/>
                <w:lang w:val="en-US" w:eastAsia="zh-CN" w:bidi="ar-SA"/>
              </w:rPr>
              <w:t>2</w:t>
            </w:r>
            <w:r>
              <w:rPr>
                <w:rFonts w:hint="eastAsia" w:ascii="方正黑体_GBK" w:hAnsi="方正黑体_GBK" w:eastAsia="方正黑体_GBK" w:cs="方正黑体_GBK"/>
                <w:snapToGrid/>
                <w:color w:val="auto"/>
                <w:spacing w:val="0"/>
                <w:kern w:val="2"/>
                <w:sz w:val="28"/>
                <w:szCs w:val="28"/>
                <w:lang w:val="en-US" w:eastAsia="zh-CN" w:bidi="ar-SA"/>
              </w:rPr>
              <w:t>）</w:t>
            </w:r>
          </w:p>
        </w:tc>
        <w:tc>
          <w:tcPr>
            <w:tcW w:w="1080" w:type="dxa"/>
            <w:vAlign w:val="center"/>
          </w:tcPr>
          <w:p w14:paraId="5A23658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方正黑体_GBK" w:hAnsi="方正黑体_GBK" w:eastAsia="方正黑体_GBK" w:cs="方正黑体_GBK"/>
                <w:snapToGrid/>
                <w:color w:val="auto"/>
                <w:spacing w:val="0"/>
                <w:kern w:val="2"/>
                <w:sz w:val="28"/>
                <w:szCs w:val="28"/>
                <w:lang w:val="en-US" w:eastAsia="zh-CN" w:bidi="ar-SA"/>
              </w:rPr>
            </w:pPr>
            <w:r>
              <w:rPr>
                <w:rFonts w:hint="eastAsia" w:ascii="方正黑体_GBK" w:hAnsi="方正黑体_GBK" w:eastAsia="方正黑体_GBK" w:cs="方正黑体_GBK"/>
                <w:snapToGrid/>
                <w:color w:val="auto"/>
                <w:spacing w:val="0"/>
                <w:kern w:val="2"/>
                <w:sz w:val="28"/>
                <w:szCs w:val="28"/>
                <w:lang w:val="en-US" w:eastAsia="zh-CN" w:bidi="ar-SA"/>
              </w:rPr>
              <w:t>所属行政区</w:t>
            </w:r>
          </w:p>
        </w:tc>
        <w:tc>
          <w:tcPr>
            <w:tcW w:w="1110" w:type="dxa"/>
            <w:vAlign w:val="center"/>
          </w:tcPr>
          <w:p w14:paraId="72F75E4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方正黑体_GBK" w:hAnsi="方正黑体_GBK" w:eastAsia="方正黑体_GBK" w:cs="方正黑体_GBK"/>
                <w:snapToGrid/>
                <w:color w:val="auto"/>
                <w:spacing w:val="0"/>
                <w:kern w:val="2"/>
                <w:sz w:val="28"/>
                <w:szCs w:val="28"/>
                <w:lang w:val="en-US" w:eastAsia="zh-CN" w:bidi="ar-SA"/>
              </w:rPr>
            </w:pPr>
            <w:r>
              <w:rPr>
                <w:rFonts w:hint="eastAsia" w:ascii="方正黑体_GBK" w:hAnsi="方正黑体_GBK" w:eastAsia="方正黑体_GBK" w:cs="方正黑体_GBK"/>
                <w:snapToGrid/>
                <w:color w:val="auto"/>
                <w:spacing w:val="0"/>
                <w:kern w:val="2"/>
                <w:sz w:val="28"/>
                <w:szCs w:val="28"/>
                <w:lang w:val="en-US" w:eastAsia="zh-CN" w:bidi="ar-SA"/>
              </w:rPr>
              <w:t>对应声功能区</w:t>
            </w:r>
          </w:p>
        </w:tc>
        <w:tc>
          <w:tcPr>
            <w:tcW w:w="2145" w:type="dxa"/>
            <w:vAlign w:val="center"/>
          </w:tcPr>
          <w:p w14:paraId="24C2F63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方正黑体_GBK" w:hAnsi="方正黑体_GBK" w:eastAsia="方正黑体_GBK" w:cs="方正黑体_GBK"/>
                <w:snapToGrid/>
                <w:color w:val="auto"/>
                <w:spacing w:val="0"/>
                <w:kern w:val="2"/>
                <w:sz w:val="28"/>
                <w:szCs w:val="28"/>
                <w:lang w:val="en-US" w:eastAsia="zh-CN" w:bidi="ar-SA"/>
              </w:rPr>
            </w:pPr>
            <w:r>
              <w:rPr>
                <w:rFonts w:hint="eastAsia" w:ascii="方正黑体_GBK" w:hAnsi="方正黑体_GBK" w:eastAsia="方正黑体_GBK" w:cs="方正黑体_GBK"/>
                <w:snapToGrid/>
                <w:color w:val="auto"/>
                <w:spacing w:val="0"/>
                <w:kern w:val="2"/>
                <w:sz w:val="28"/>
                <w:szCs w:val="28"/>
                <w:lang w:val="en-US" w:eastAsia="zh-CN" w:bidi="ar-SA"/>
              </w:rPr>
              <w:t>执行标准</w:t>
            </w:r>
          </w:p>
        </w:tc>
        <w:tc>
          <w:tcPr>
            <w:tcW w:w="1771" w:type="dxa"/>
            <w:vAlign w:val="center"/>
          </w:tcPr>
          <w:p w14:paraId="66604A1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方正黑体_GBK" w:hAnsi="方正黑体_GBK" w:eastAsia="方正黑体_GBK" w:cs="方正黑体_GBK"/>
                <w:snapToGrid/>
                <w:color w:val="auto"/>
                <w:spacing w:val="0"/>
                <w:kern w:val="2"/>
                <w:sz w:val="28"/>
                <w:szCs w:val="28"/>
                <w:lang w:val="en-US" w:eastAsia="zh-CN" w:bidi="ar-SA"/>
              </w:rPr>
            </w:pPr>
            <w:r>
              <w:rPr>
                <w:rFonts w:hint="eastAsia" w:ascii="方正黑体_GBK" w:hAnsi="方正黑体_GBK" w:eastAsia="方正黑体_GBK" w:cs="方正黑体_GBK"/>
                <w:snapToGrid/>
                <w:color w:val="auto"/>
                <w:spacing w:val="0"/>
                <w:kern w:val="2"/>
                <w:sz w:val="28"/>
                <w:szCs w:val="28"/>
                <w:lang w:val="en-US" w:eastAsia="zh-CN" w:bidi="ar-SA"/>
              </w:rPr>
              <w:t>备注</w:t>
            </w:r>
          </w:p>
        </w:tc>
      </w:tr>
      <w:tr w14:paraId="42A4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841" w:type="dxa"/>
            <w:vAlign w:val="center"/>
          </w:tcPr>
          <w:p w14:paraId="4AE5FF9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1号区域</w:t>
            </w:r>
          </w:p>
        </w:tc>
        <w:tc>
          <w:tcPr>
            <w:tcW w:w="5850" w:type="dxa"/>
            <w:gridSpan w:val="2"/>
            <w:vAlign w:val="center"/>
          </w:tcPr>
          <w:p w14:paraId="35E7DB8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万鑫花园、明宏鑫城、铜梁区旧县镇小学、红枫苑、旧县初级中学、大龙花园、福满居、檬梓敬老院</w:t>
            </w:r>
          </w:p>
        </w:tc>
        <w:tc>
          <w:tcPr>
            <w:tcW w:w="1185" w:type="dxa"/>
            <w:vAlign w:val="center"/>
          </w:tcPr>
          <w:p w14:paraId="1ED9382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0.247</w:t>
            </w:r>
          </w:p>
        </w:tc>
        <w:tc>
          <w:tcPr>
            <w:tcW w:w="1080" w:type="dxa"/>
            <w:vAlign w:val="center"/>
          </w:tcPr>
          <w:p w14:paraId="636B58C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旧县</w:t>
            </w:r>
          </w:p>
          <w:p w14:paraId="13DD48D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街道</w:t>
            </w:r>
          </w:p>
        </w:tc>
        <w:tc>
          <w:tcPr>
            <w:tcW w:w="1110" w:type="dxa"/>
            <w:vAlign w:val="center"/>
          </w:tcPr>
          <w:p w14:paraId="4F46B20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5001512L006</w:t>
            </w:r>
          </w:p>
        </w:tc>
        <w:tc>
          <w:tcPr>
            <w:tcW w:w="2145" w:type="dxa"/>
            <w:vAlign w:val="center"/>
          </w:tcPr>
          <w:p w14:paraId="13810CB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昼间≤60dB(A)；夜间≤50dB(A)</w:t>
            </w:r>
          </w:p>
        </w:tc>
        <w:tc>
          <w:tcPr>
            <w:tcW w:w="1771" w:type="dxa"/>
            <w:vAlign w:val="center"/>
          </w:tcPr>
          <w:p w14:paraId="48CDD9F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此区域东侧是1-1号临时扩展区。</w:t>
            </w:r>
          </w:p>
        </w:tc>
      </w:tr>
      <w:tr w14:paraId="39BD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1" w:type="dxa"/>
            <w:vAlign w:val="center"/>
          </w:tcPr>
          <w:p w14:paraId="734CFA1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2号区域</w:t>
            </w:r>
          </w:p>
        </w:tc>
        <w:tc>
          <w:tcPr>
            <w:tcW w:w="5850" w:type="dxa"/>
            <w:gridSpan w:val="2"/>
            <w:vAlign w:val="center"/>
          </w:tcPr>
          <w:p w14:paraId="642B2F2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滨江新城、蒲秀家园、工人新村、蒲吕初级中学校、铜梁区第三人民医院、怡康花苑、铜梁区第二实验小学、龙山名居、天泰龙山上院、龙山小区、翔悦时代广场、金钰华府、第十特困敬老院</w:t>
            </w:r>
          </w:p>
        </w:tc>
        <w:tc>
          <w:tcPr>
            <w:tcW w:w="1185" w:type="dxa"/>
            <w:vAlign w:val="center"/>
          </w:tcPr>
          <w:p w14:paraId="192AF0B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0.372</w:t>
            </w:r>
          </w:p>
        </w:tc>
        <w:tc>
          <w:tcPr>
            <w:tcW w:w="1080" w:type="dxa"/>
            <w:vAlign w:val="center"/>
          </w:tcPr>
          <w:p w14:paraId="0B11350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蒲吕</w:t>
            </w:r>
          </w:p>
          <w:p w14:paraId="0611255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街道</w:t>
            </w:r>
          </w:p>
        </w:tc>
        <w:tc>
          <w:tcPr>
            <w:tcW w:w="1110" w:type="dxa"/>
            <w:vAlign w:val="center"/>
          </w:tcPr>
          <w:p w14:paraId="7417C8B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5001512L005、5001513L002</w:t>
            </w:r>
          </w:p>
        </w:tc>
        <w:tc>
          <w:tcPr>
            <w:tcW w:w="2145" w:type="dxa"/>
            <w:vAlign w:val="center"/>
          </w:tcPr>
          <w:p w14:paraId="560AB6B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2类</w:t>
            </w:r>
          </w:p>
          <w:p w14:paraId="78FD92E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昼间≤60dB(A)；夜间≤50dB(A)</w:t>
            </w:r>
          </w:p>
          <w:p w14:paraId="5E74775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3类</w:t>
            </w:r>
          </w:p>
          <w:p w14:paraId="3833968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昼间≤65dB(A)；夜间≤55dB(A)</w:t>
            </w:r>
          </w:p>
        </w:tc>
        <w:tc>
          <w:tcPr>
            <w:tcW w:w="1771" w:type="dxa"/>
            <w:vAlign w:val="center"/>
          </w:tcPr>
          <w:p w14:paraId="2CF5258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p>
        </w:tc>
      </w:tr>
      <w:tr w14:paraId="071F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1" w:type="dxa"/>
            <w:vAlign w:val="center"/>
          </w:tcPr>
          <w:p w14:paraId="38DF29A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3号区域</w:t>
            </w:r>
          </w:p>
        </w:tc>
        <w:tc>
          <w:tcPr>
            <w:tcW w:w="5850" w:type="dxa"/>
            <w:gridSpan w:val="2"/>
            <w:vAlign w:val="center"/>
          </w:tcPr>
          <w:p w14:paraId="1A6DA6A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铜梁区卫生健康委员会、铜梁区妇女儿童医院、铜梁区生态环境局、白龙社区居委会</w:t>
            </w:r>
          </w:p>
        </w:tc>
        <w:tc>
          <w:tcPr>
            <w:tcW w:w="1185" w:type="dxa"/>
            <w:vAlign w:val="center"/>
          </w:tcPr>
          <w:p w14:paraId="4B49077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0.022</w:t>
            </w:r>
          </w:p>
        </w:tc>
        <w:tc>
          <w:tcPr>
            <w:tcW w:w="1080" w:type="dxa"/>
            <w:vAlign w:val="center"/>
          </w:tcPr>
          <w:p w14:paraId="6E83180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南城</w:t>
            </w:r>
          </w:p>
          <w:p w14:paraId="6EEA8BA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街道</w:t>
            </w:r>
          </w:p>
        </w:tc>
        <w:tc>
          <w:tcPr>
            <w:tcW w:w="1110" w:type="dxa"/>
            <w:vAlign w:val="center"/>
          </w:tcPr>
          <w:p w14:paraId="2591EF8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5001511L004</w:t>
            </w:r>
          </w:p>
        </w:tc>
        <w:tc>
          <w:tcPr>
            <w:tcW w:w="2145" w:type="dxa"/>
            <w:vAlign w:val="center"/>
          </w:tcPr>
          <w:p w14:paraId="2556B38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昼间≤55dB(A)；夜间≤45dB(A)</w:t>
            </w:r>
          </w:p>
        </w:tc>
        <w:tc>
          <w:tcPr>
            <w:tcW w:w="1771" w:type="dxa"/>
            <w:vAlign w:val="center"/>
          </w:tcPr>
          <w:p w14:paraId="353D223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highlight w:val="none"/>
                <w:lang w:val="en-US" w:eastAsia="zh-CN" w:bidi="ar-SA"/>
              </w:rPr>
              <w:t>此声</w:t>
            </w:r>
            <w:r>
              <w:rPr>
                <w:rFonts w:hint="default" w:ascii="Times New Roman" w:hAnsi="Times New Roman" w:eastAsia="方正仿宋_GBK" w:cs="Times New Roman"/>
                <w:snapToGrid/>
                <w:color w:val="auto"/>
                <w:spacing w:val="0"/>
                <w:kern w:val="2"/>
                <w:sz w:val="28"/>
                <w:szCs w:val="28"/>
                <w:lang w:val="en-US" w:eastAsia="zh-CN" w:bidi="ar-SA"/>
              </w:rPr>
              <w:t>功能区面积较小，其中噪声敏感建筑物少，故面积小于0.1km</w:t>
            </w:r>
            <w:r>
              <w:rPr>
                <w:rFonts w:hint="default" w:ascii="Times New Roman" w:hAnsi="Times New Roman" w:eastAsia="方正仿宋_GBK" w:cs="Times New Roman"/>
                <w:snapToGrid/>
                <w:color w:val="auto"/>
                <w:spacing w:val="0"/>
                <w:kern w:val="2"/>
                <w:sz w:val="28"/>
                <w:szCs w:val="28"/>
                <w:vertAlign w:val="superscript"/>
                <w:lang w:val="en-US" w:eastAsia="zh-CN" w:bidi="ar-SA"/>
              </w:rPr>
              <w:t>2</w:t>
            </w:r>
            <w:r>
              <w:rPr>
                <w:rFonts w:hint="default" w:ascii="Times New Roman" w:hAnsi="Times New Roman" w:eastAsia="方正仿宋_GBK" w:cs="Times New Roman"/>
                <w:snapToGrid/>
                <w:color w:val="auto"/>
                <w:spacing w:val="0"/>
                <w:kern w:val="2"/>
                <w:sz w:val="28"/>
                <w:szCs w:val="28"/>
                <w:lang w:val="en-US" w:eastAsia="zh-CN" w:bidi="ar-SA"/>
              </w:rPr>
              <w:t>。</w:t>
            </w:r>
          </w:p>
        </w:tc>
      </w:tr>
      <w:tr w14:paraId="49E2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1" w:type="dxa"/>
            <w:vAlign w:val="center"/>
          </w:tcPr>
          <w:p w14:paraId="2701D19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4号区域</w:t>
            </w:r>
          </w:p>
        </w:tc>
        <w:tc>
          <w:tcPr>
            <w:tcW w:w="5850" w:type="dxa"/>
            <w:gridSpan w:val="2"/>
            <w:vAlign w:val="center"/>
          </w:tcPr>
          <w:p w14:paraId="4B22EE1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铜梁区消防救援局、昕晖璟尚、来新居水岸国际、鸥鹏华府、金龙小学</w:t>
            </w:r>
          </w:p>
        </w:tc>
        <w:tc>
          <w:tcPr>
            <w:tcW w:w="1185" w:type="dxa"/>
            <w:vAlign w:val="center"/>
          </w:tcPr>
          <w:p w14:paraId="0D6F008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0.473</w:t>
            </w:r>
          </w:p>
        </w:tc>
        <w:tc>
          <w:tcPr>
            <w:tcW w:w="1080" w:type="dxa"/>
            <w:vAlign w:val="center"/>
          </w:tcPr>
          <w:p w14:paraId="432311C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南城街道、东城街道</w:t>
            </w:r>
          </w:p>
        </w:tc>
        <w:tc>
          <w:tcPr>
            <w:tcW w:w="1110" w:type="dxa"/>
            <w:vAlign w:val="center"/>
          </w:tcPr>
          <w:p w14:paraId="1EF212B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5001511L003</w:t>
            </w:r>
          </w:p>
        </w:tc>
        <w:tc>
          <w:tcPr>
            <w:tcW w:w="2145" w:type="dxa"/>
            <w:vAlign w:val="center"/>
          </w:tcPr>
          <w:p w14:paraId="40FB76C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昼间≤55dB(A)；夜间≤45dB(A)</w:t>
            </w:r>
          </w:p>
        </w:tc>
        <w:tc>
          <w:tcPr>
            <w:tcW w:w="1771" w:type="dxa"/>
            <w:vAlign w:val="center"/>
          </w:tcPr>
          <w:p w14:paraId="5599C12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该区域南侧是4-1号临时扩展区。</w:t>
            </w:r>
          </w:p>
        </w:tc>
      </w:tr>
      <w:tr w14:paraId="5B78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0" w:hRule="atLeast"/>
          <w:jc w:val="center"/>
        </w:trPr>
        <w:tc>
          <w:tcPr>
            <w:tcW w:w="841" w:type="dxa"/>
            <w:vAlign w:val="center"/>
          </w:tcPr>
          <w:p w14:paraId="175672E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5号区域</w:t>
            </w:r>
          </w:p>
        </w:tc>
        <w:tc>
          <w:tcPr>
            <w:tcW w:w="5850" w:type="dxa"/>
            <w:gridSpan w:val="2"/>
            <w:vAlign w:val="center"/>
          </w:tcPr>
          <w:p w14:paraId="0FD1ECE1">
            <w:pPr>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left"/>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铜梁恒大城</w:t>
            </w:r>
            <w:r>
              <w:rPr>
                <w:rFonts w:hint="default" w:ascii="Times New Roman" w:hAnsi="Times New Roman" w:eastAsia="方正仿宋_GBK" w:cs="Times New Roman"/>
                <w:snapToGrid/>
                <w:color w:val="auto"/>
                <w:spacing w:val="0"/>
                <w:kern w:val="2"/>
                <w:sz w:val="28"/>
                <w:szCs w:val="28"/>
                <w:highlight w:val="none"/>
                <w:lang w:val="en-US" w:eastAsia="zh-CN" w:bidi="ar-SA"/>
              </w:rPr>
              <w:t>、和</w:t>
            </w:r>
            <w:r>
              <w:rPr>
                <w:rFonts w:hint="default" w:ascii="Times New Roman" w:hAnsi="Times New Roman" w:eastAsia="方正仿宋_GBK" w:cs="Times New Roman"/>
                <w:snapToGrid/>
                <w:color w:val="auto"/>
                <w:spacing w:val="0"/>
                <w:kern w:val="2"/>
                <w:sz w:val="28"/>
                <w:szCs w:val="28"/>
                <w:lang w:val="en-US" w:eastAsia="zh-CN" w:bidi="ar-SA"/>
              </w:rPr>
              <w:t>源家园、阳光家和、泽京龙樾府、龙泉香榭、玉泉小学、金科集美东方、金龙社区还建房、拓新御府、玉泉雅苑、</w:t>
            </w:r>
            <w:r>
              <w:rPr>
                <w:rFonts w:hint="default" w:ascii="Times New Roman" w:hAnsi="Times New Roman" w:eastAsia="方正仿宋_GBK" w:cs="Times New Roman"/>
                <w:snapToGrid/>
                <w:color w:val="auto"/>
                <w:spacing w:val="0"/>
                <w:kern w:val="2"/>
                <w:sz w:val="28"/>
                <w:szCs w:val="28"/>
                <w:highlight w:val="none"/>
                <w:lang w:val="en-US" w:eastAsia="zh-CN" w:bidi="ar-SA"/>
              </w:rPr>
              <w:t>花样</w:t>
            </w:r>
            <w:r>
              <w:rPr>
                <w:rFonts w:hint="default" w:ascii="Times New Roman" w:hAnsi="Times New Roman" w:eastAsia="方正仿宋_GBK" w:cs="Times New Roman"/>
                <w:snapToGrid/>
                <w:color w:val="auto"/>
                <w:spacing w:val="0"/>
                <w:kern w:val="2"/>
                <w:sz w:val="28"/>
                <w:szCs w:val="28"/>
                <w:lang w:val="en-US" w:eastAsia="zh-CN" w:bidi="ar-SA"/>
              </w:rPr>
              <w:t>时光、财福苑、玉泉佳苑、金川花苑、金龙御府、美丽泽京爱尚里、金科集美东方、裕城理想、立心小学、德隆家园、北京城建欧陆经典、昕晖璟樾、金悦城、来新居水岸国际-北区、铜梁宏博香滨城、金安家苑、龙城首府、博悦悦城、铜梁区科创中心、铜梁区档案馆、御景天下、铜梁区人民医院、鑫城国际、新鹏瑞郦城、晶山LOMO、宝利新城、兰亭别院、龙迈时尚鑫街、阳光丽都、双远凤凰郡、旭威世纪新城、玉泉湾、美丽泽京、玉泉花苑、龙馨家园、梨树苑、北城龙郡</w:t>
            </w:r>
          </w:p>
        </w:tc>
        <w:tc>
          <w:tcPr>
            <w:tcW w:w="1185" w:type="dxa"/>
            <w:vAlign w:val="center"/>
          </w:tcPr>
          <w:p w14:paraId="0F8E7EE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2.190</w:t>
            </w:r>
          </w:p>
        </w:tc>
        <w:tc>
          <w:tcPr>
            <w:tcW w:w="1080" w:type="dxa"/>
            <w:vAlign w:val="center"/>
          </w:tcPr>
          <w:p w14:paraId="1E9D6C0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东城</w:t>
            </w:r>
          </w:p>
          <w:p w14:paraId="32DB5CA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街道</w:t>
            </w:r>
          </w:p>
        </w:tc>
        <w:tc>
          <w:tcPr>
            <w:tcW w:w="1110" w:type="dxa"/>
            <w:vAlign w:val="center"/>
          </w:tcPr>
          <w:p w14:paraId="5524045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5001512L002</w:t>
            </w:r>
          </w:p>
        </w:tc>
        <w:tc>
          <w:tcPr>
            <w:tcW w:w="2145" w:type="dxa"/>
            <w:vAlign w:val="center"/>
          </w:tcPr>
          <w:p w14:paraId="67FD494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昼间≤60dB(A)；夜间≤50dB(A)</w:t>
            </w:r>
          </w:p>
        </w:tc>
        <w:tc>
          <w:tcPr>
            <w:tcW w:w="1771" w:type="dxa"/>
            <w:vAlign w:val="center"/>
          </w:tcPr>
          <w:p w14:paraId="43B00C3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该区域北侧是5-1号临时扩展区；该区域中部是5-2、5-3号临时扩展区；该区域南侧是5-4、5-5号两处临时扩展区。</w:t>
            </w:r>
          </w:p>
          <w:p w14:paraId="3C266F4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p>
        </w:tc>
      </w:tr>
      <w:tr w14:paraId="07C7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9" w:hRule="atLeast"/>
          <w:jc w:val="center"/>
        </w:trPr>
        <w:tc>
          <w:tcPr>
            <w:tcW w:w="841" w:type="dxa"/>
            <w:vAlign w:val="center"/>
          </w:tcPr>
          <w:p w14:paraId="464B809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6号区域</w:t>
            </w:r>
          </w:p>
        </w:tc>
        <w:tc>
          <w:tcPr>
            <w:tcW w:w="5850" w:type="dxa"/>
            <w:gridSpan w:val="2"/>
            <w:vAlign w:val="center"/>
          </w:tcPr>
          <w:p w14:paraId="472AEBDC">
            <w:pPr>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left"/>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书香嘉苑、重庆市铜梁二中、金豪嘉苑、欧鹏壹号公馆、尚品国际、尚品世家、普罗旺斯国际公馆、泽京普罗旺斯东岸、铜梁职业教育中心、重庆市铜梁区教师进修学校、重庆传媒职业学院、铁路技术学校、紫金华庭、柏涟温莎名苑、铜梁区气象局、重庆市铜梁区金砂小学、重庆艺术工程职业学院、华绣学校</w:t>
            </w:r>
          </w:p>
        </w:tc>
        <w:tc>
          <w:tcPr>
            <w:tcW w:w="1185" w:type="dxa"/>
            <w:vAlign w:val="center"/>
          </w:tcPr>
          <w:p w14:paraId="0AA1497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1.182</w:t>
            </w:r>
          </w:p>
        </w:tc>
        <w:tc>
          <w:tcPr>
            <w:tcW w:w="1080" w:type="dxa"/>
            <w:vAlign w:val="center"/>
          </w:tcPr>
          <w:p w14:paraId="793DBDE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巴川街道、东城街道</w:t>
            </w:r>
          </w:p>
        </w:tc>
        <w:tc>
          <w:tcPr>
            <w:tcW w:w="1110" w:type="dxa"/>
            <w:vAlign w:val="center"/>
          </w:tcPr>
          <w:p w14:paraId="1C6730B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5001511L001</w:t>
            </w:r>
          </w:p>
        </w:tc>
        <w:tc>
          <w:tcPr>
            <w:tcW w:w="2145" w:type="dxa"/>
            <w:vAlign w:val="center"/>
          </w:tcPr>
          <w:p w14:paraId="0E723A8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昼间≤55dB(A)；夜间≤45dB(A)</w:t>
            </w:r>
          </w:p>
        </w:tc>
        <w:tc>
          <w:tcPr>
            <w:tcW w:w="1771" w:type="dxa"/>
            <w:vAlign w:val="center"/>
          </w:tcPr>
          <w:p w14:paraId="6441493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该区域北侧是6-1号临时扩展区；该区域中部是6-2号临时扩展区。</w:t>
            </w:r>
          </w:p>
        </w:tc>
      </w:tr>
      <w:tr w14:paraId="71A9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8" w:hRule="atLeast"/>
          <w:jc w:val="center"/>
        </w:trPr>
        <w:tc>
          <w:tcPr>
            <w:tcW w:w="841" w:type="dxa"/>
            <w:vAlign w:val="center"/>
          </w:tcPr>
          <w:p w14:paraId="19709D7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7号区域</w:t>
            </w:r>
          </w:p>
        </w:tc>
        <w:tc>
          <w:tcPr>
            <w:tcW w:w="5850" w:type="dxa"/>
            <w:gridSpan w:val="2"/>
            <w:vAlign w:val="center"/>
          </w:tcPr>
          <w:p w14:paraId="1B0FA333">
            <w:pPr>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left"/>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书香门第、铜梁中学校</w:t>
            </w:r>
            <w:r>
              <w:rPr>
                <w:rFonts w:hint="default" w:ascii="Times New Roman" w:hAnsi="Times New Roman" w:eastAsia="方正仿宋_GBK" w:cs="Times New Roman"/>
                <w:snapToGrid/>
                <w:color w:val="auto"/>
                <w:spacing w:val="0"/>
                <w:kern w:val="2"/>
                <w:sz w:val="28"/>
                <w:szCs w:val="28"/>
                <w:highlight w:val="none"/>
                <w:lang w:val="en-US" w:eastAsia="zh-CN" w:bidi="ar-SA"/>
              </w:rPr>
              <w:t>（</w:t>
            </w:r>
            <w:r>
              <w:rPr>
                <w:rFonts w:hint="default" w:ascii="Times New Roman" w:hAnsi="Times New Roman" w:eastAsia="方正仿宋_GBK" w:cs="Times New Roman"/>
                <w:snapToGrid/>
                <w:color w:val="auto"/>
                <w:spacing w:val="0"/>
                <w:kern w:val="2"/>
                <w:sz w:val="28"/>
                <w:szCs w:val="28"/>
                <w:lang w:val="en-US" w:eastAsia="zh-CN" w:bidi="ar-SA"/>
              </w:rPr>
              <w:t>凤山校区</w:t>
            </w:r>
            <w:r>
              <w:rPr>
                <w:rFonts w:hint="default" w:ascii="Times New Roman" w:hAnsi="Times New Roman" w:eastAsia="方正仿宋_GBK" w:cs="Times New Roman"/>
                <w:snapToGrid/>
                <w:color w:val="auto"/>
                <w:spacing w:val="0"/>
                <w:kern w:val="2"/>
                <w:sz w:val="28"/>
                <w:szCs w:val="28"/>
                <w:highlight w:val="none"/>
                <w:lang w:val="en-US" w:eastAsia="zh-CN" w:bidi="ar-SA"/>
              </w:rPr>
              <w:t>）</w:t>
            </w:r>
            <w:r>
              <w:rPr>
                <w:rFonts w:hint="default" w:ascii="Times New Roman" w:hAnsi="Times New Roman" w:eastAsia="方正仿宋_GBK" w:cs="Times New Roman"/>
                <w:snapToGrid/>
                <w:color w:val="auto"/>
                <w:spacing w:val="0"/>
                <w:kern w:val="2"/>
                <w:sz w:val="28"/>
                <w:szCs w:val="28"/>
                <w:lang w:val="en-US" w:eastAsia="zh-CN" w:bidi="ar-SA"/>
              </w:rPr>
              <w:t>、重庆市铜梁中学</w:t>
            </w:r>
            <w:r>
              <w:rPr>
                <w:rFonts w:hint="default" w:ascii="Times New Roman" w:hAnsi="Times New Roman" w:eastAsia="方正仿宋_GBK" w:cs="Times New Roman"/>
                <w:snapToGrid/>
                <w:color w:val="auto"/>
                <w:spacing w:val="0"/>
                <w:kern w:val="2"/>
                <w:sz w:val="28"/>
                <w:szCs w:val="28"/>
                <w:highlight w:val="none"/>
                <w:lang w:val="en-US" w:eastAsia="zh-CN" w:bidi="ar-SA"/>
              </w:rPr>
              <w:t>（</w:t>
            </w:r>
            <w:r>
              <w:rPr>
                <w:rFonts w:hint="default" w:ascii="Times New Roman" w:hAnsi="Times New Roman" w:eastAsia="方正仿宋_GBK" w:cs="Times New Roman"/>
                <w:snapToGrid/>
                <w:color w:val="auto"/>
                <w:spacing w:val="0"/>
                <w:kern w:val="2"/>
                <w:sz w:val="28"/>
                <w:szCs w:val="28"/>
                <w:lang w:val="en-US" w:eastAsia="zh-CN" w:bidi="ar-SA"/>
              </w:rPr>
              <w:t>龙山校区</w:t>
            </w:r>
            <w:r>
              <w:rPr>
                <w:rFonts w:hint="default" w:ascii="Times New Roman" w:hAnsi="Times New Roman" w:eastAsia="方正仿宋_GBK" w:cs="Times New Roman"/>
                <w:snapToGrid/>
                <w:color w:val="auto"/>
                <w:spacing w:val="0"/>
                <w:kern w:val="2"/>
                <w:sz w:val="28"/>
                <w:szCs w:val="28"/>
                <w:highlight w:val="none"/>
                <w:lang w:val="en-US" w:eastAsia="zh-CN" w:bidi="ar-SA"/>
              </w:rPr>
              <w:t>）</w:t>
            </w:r>
            <w:r>
              <w:rPr>
                <w:rFonts w:hint="default" w:ascii="Times New Roman" w:hAnsi="Times New Roman" w:eastAsia="方正仿宋_GBK" w:cs="Times New Roman"/>
                <w:snapToGrid/>
                <w:color w:val="auto"/>
                <w:spacing w:val="0"/>
                <w:kern w:val="2"/>
                <w:sz w:val="28"/>
                <w:szCs w:val="28"/>
                <w:lang w:val="en-US" w:eastAsia="zh-CN" w:bidi="ar-SA"/>
              </w:rPr>
              <w:t>、耕心园、西凤园、德多小区、建设花园、龙都花园、天润馨都、铜梁区第一实验小学、学林花园、龙城国际、铜梁区政府、区政府家属区、北街馨苑、中心花园、翠英花园、铜梁区民政局、南较场小区、颐龙花园、铜梁区税务局、龙福花园、龙城云洲、龙鹏景苑、铜梁区第二人民医院、宏福景苑、益星雅郡、重庆市铜梁区龙都小学、紫锦花苑、锦绣花园A区、龙庭佳苑、鑫龙花园、龙城壹号、君悦大豪园、龙兴花园、锦绣笙邻、龙苑花园、世纪阳光、第一书香、重庆市巴川中学、铜梁新鸥鹏教育城、金龙山花园、新隆铭居、吉宏花园、红旗馨苑、外贸家园、广龙明珠、营盘馨苑、营房华亭、营盘佳园、金盾花园、铜梁区巴川小学、茂田铜梁印象、学府雅苑、翰林天下、袁家花园、金科博翠云邸、北城蓝湖、龙城国际北城、六顺花园、阳光水岸、邻水人家、香樟郡、电力新村、北国风光、鹏瑞国色天香、北环锦苑、光大百龄帮养老院</w:t>
            </w:r>
          </w:p>
        </w:tc>
        <w:tc>
          <w:tcPr>
            <w:tcW w:w="1185" w:type="dxa"/>
            <w:vAlign w:val="center"/>
          </w:tcPr>
          <w:p w14:paraId="0245DE6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3.582</w:t>
            </w:r>
          </w:p>
        </w:tc>
        <w:tc>
          <w:tcPr>
            <w:tcW w:w="1080" w:type="dxa"/>
            <w:vAlign w:val="center"/>
          </w:tcPr>
          <w:p w14:paraId="280FF18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巴川街道、南城街道、东城街道</w:t>
            </w:r>
          </w:p>
        </w:tc>
        <w:tc>
          <w:tcPr>
            <w:tcW w:w="1110" w:type="dxa"/>
            <w:vAlign w:val="center"/>
          </w:tcPr>
          <w:p w14:paraId="2B4F3F0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5001512L001</w:t>
            </w:r>
          </w:p>
        </w:tc>
        <w:tc>
          <w:tcPr>
            <w:tcW w:w="2145" w:type="dxa"/>
            <w:vAlign w:val="center"/>
          </w:tcPr>
          <w:p w14:paraId="045B2B4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昼间≤60dB(A)；夜间≤50dB(A)</w:t>
            </w:r>
          </w:p>
        </w:tc>
        <w:tc>
          <w:tcPr>
            <w:tcW w:w="1771" w:type="dxa"/>
            <w:vAlign w:val="center"/>
          </w:tcPr>
          <w:p w14:paraId="500F6F3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p>
        </w:tc>
      </w:tr>
      <w:tr w14:paraId="0B98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9EF61A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8号区域</w:t>
            </w:r>
          </w:p>
        </w:tc>
        <w:tc>
          <w:tcPr>
            <w:tcW w:w="5850" w:type="dxa"/>
            <w:gridSpan w:val="2"/>
            <w:vAlign w:val="center"/>
          </w:tcPr>
          <w:p w14:paraId="04D32871">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铜梁东方家园、益星景苑、南亭苑、桃源居、重庆市铜梁一中、福禄花园、阳光雅舍、铜梁区社会主义学院、华夏康城、家合花园、盛世华城、铜梁巴中、罗曼山、铜梁图书馆、龙脉书院、中共重庆市铜梁区委员会、重庆市铜梁区外国语实验小学、白龙花苑、益星花园、尚风名居、金科原乡溪岸、重庆市铜梁区中医院（新院区）、升伟原香郡、邦泰颐和上院</w:t>
            </w:r>
          </w:p>
        </w:tc>
        <w:tc>
          <w:tcPr>
            <w:tcW w:w="1185" w:type="dxa"/>
            <w:vAlign w:val="center"/>
          </w:tcPr>
          <w:p w14:paraId="6A9D0470">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1.095</w:t>
            </w:r>
          </w:p>
        </w:tc>
        <w:tc>
          <w:tcPr>
            <w:tcW w:w="1080" w:type="dxa"/>
            <w:vAlign w:val="center"/>
          </w:tcPr>
          <w:p w14:paraId="6539A8C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巴川街道、南城街道</w:t>
            </w:r>
          </w:p>
        </w:tc>
        <w:tc>
          <w:tcPr>
            <w:tcW w:w="1110" w:type="dxa"/>
            <w:vAlign w:val="center"/>
          </w:tcPr>
          <w:p w14:paraId="2E220A3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5001511L002</w:t>
            </w:r>
          </w:p>
        </w:tc>
        <w:tc>
          <w:tcPr>
            <w:tcW w:w="2145" w:type="dxa"/>
            <w:vAlign w:val="center"/>
          </w:tcPr>
          <w:p w14:paraId="06A42C3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昼间≤55dB(A)；夜间≤45dB(A)</w:t>
            </w:r>
          </w:p>
        </w:tc>
        <w:tc>
          <w:tcPr>
            <w:tcW w:w="1771" w:type="dxa"/>
            <w:vAlign w:val="center"/>
          </w:tcPr>
          <w:p w14:paraId="54ECDF3C">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p>
        </w:tc>
      </w:tr>
      <w:tr w14:paraId="2861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1" w:type="dxa"/>
            <w:vMerge w:val="restart"/>
            <w:vAlign w:val="center"/>
          </w:tcPr>
          <w:p w14:paraId="143BA620">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9号区域</w:t>
            </w:r>
          </w:p>
        </w:tc>
        <w:tc>
          <w:tcPr>
            <w:tcW w:w="1020" w:type="dxa"/>
            <w:vAlign w:val="center"/>
          </w:tcPr>
          <w:p w14:paraId="3AD49C01">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锦绣江南片区</w:t>
            </w:r>
          </w:p>
        </w:tc>
        <w:tc>
          <w:tcPr>
            <w:tcW w:w="4830" w:type="dxa"/>
            <w:vAlign w:val="center"/>
          </w:tcPr>
          <w:p w14:paraId="63D62BF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龙腾盛世、铜梁龙都时代广场、晏滨小区、淮远小区、法建小区、锦上华庭、锦绣江南、锦绣花园B区、大招家苑、铜梁白龙苑、龙城新都、铜梁区公安局、铜梁区龙泽苑、铜梁区人民法院、亲水湾</w:t>
            </w:r>
          </w:p>
        </w:tc>
        <w:tc>
          <w:tcPr>
            <w:tcW w:w="1185" w:type="dxa"/>
            <w:vAlign w:val="center"/>
          </w:tcPr>
          <w:p w14:paraId="22AF7D30">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0.615</w:t>
            </w:r>
          </w:p>
        </w:tc>
        <w:tc>
          <w:tcPr>
            <w:tcW w:w="1080" w:type="dxa"/>
            <w:vAlign w:val="center"/>
          </w:tcPr>
          <w:p w14:paraId="29190C6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巴川街道、东城街道</w:t>
            </w:r>
          </w:p>
        </w:tc>
        <w:tc>
          <w:tcPr>
            <w:tcW w:w="1110" w:type="dxa"/>
            <w:vMerge w:val="restart"/>
            <w:vAlign w:val="center"/>
          </w:tcPr>
          <w:p w14:paraId="7AC4764A">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5001512L003</w:t>
            </w:r>
          </w:p>
        </w:tc>
        <w:tc>
          <w:tcPr>
            <w:tcW w:w="2145" w:type="dxa"/>
            <w:vMerge w:val="restart"/>
            <w:vAlign w:val="center"/>
          </w:tcPr>
          <w:p w14:paraId="2165A6E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昼间≤60dB(A)；夜间≤50dB(A)</w:t>
            </w:r>
          </w:p>
        </w:tc>
        <w:tc>
          <w:tcPr>
            <w:tcW w:w="1771" w:type="dxa"/>
            <w:vAlign w:val="center"/>
          </w:tcPr>
          <w:p w14:paraId="63FFCDE8">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p>
        </w:tc>
      </w:tr>
      <w:tr w14:paraId="04FA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1" w:type="dxa"/>
            <w:vMerge w:val="continue"/>
            <w:vAlign w:val="center"/>
          </w:tcPr>
          <w:p w14:paraId="0026A598">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p>
        </w:tc>
        <w:tc>
          <w:tcPr>
            <w:tcW w:w="1020" w:type="dxa"/>
            <w:vAlign w:val="center"/>
          </w:tcPr>
          <w:p w14:paraId="5C1C0BD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龙轩大地片区</w:t>
            </w:r>
          </w:p>
        </w:tc>
        <w:tc>
          <w:tcPr>
            <w:tcW w:w="4830" w:type="dxa"/>
            <w:vAlign w:val="center"/>
          </w:tcPr>
          <w:p w14:paraId="44B1B03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锦天水岸、莲花家园、天诺公园御府、四季花城、金色家园、龙城御景、龙轩大地、铜梁天一星城、金科原乡美苑、高宇·十里云湖、铜梁区智慧养老服务中心</w:t>
            </w:r>
          </w:p>
        </w:tc>
        <w:tc>
          <w:tcPr>
            <w:tcW w:w="1185" w:type="dxa"/>
            <w:vAlign w:val="center"/>
          </w:tcPr>
          <w:p w14:paraId="2B761CA7">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0.902</w:t>
            </w:r>
          </w:p>
        </w:tc>
        <w:tc>
          <w:tcPr>
            <w:tcW w:w="1080" w:type="dxa"/>
            <w:vAlign w:val="center"/>
          </w:tcPr>
          <w:p w14:paraId="29FF620A">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南城</w:t>
            </w:r>
          </w:p>
          <w:p w14:paraId="13CDFCF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街道</w:t>
            </w:r>
          </w:p>
        </w:tc>
        <w:tc>
          <w:tcPr>
            <w:tcW w:w="1110" w:type="dxa"/>
            <w:vMerge w:val="continue"/>
            <w:vAlign w:val="center"/>
          </w:tcPr>
          <w:p w14:paraId="75A31E7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p>
        </w:tc>
        <w:tc>
          <w:tcPr>
            <w:tcW w:w="2145" w:type="dxa"/>
            <w:vMerge w:val="continue"/>
            <w:vAlign w:val="center"/>
          </w:tcPr>
          <w:p w14:paraId="363C3A92">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p>
        </w:tc>
        <w:tc>
          <w:tcPr>
            <w:tcW w:w="1771" w:type="dxa"/>
            <w:vAlign w:val="center"/>
          </w:tcPr>
          <w:p w14:paraId="6689E4F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该区域中部是9-1、9-2号处临时扩展区。</w:t>
            </w:r>
          </w:p>
        </w:tc>
      </w:tr>
      <w:tr w14:paraId="2EB5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1" w:type="dxa"/>
            <w:vMerge w:val="continue"/>
            <w:vAlign w:val="center"/>
          </w:tcPr>
          <w:p w14:paraId="7BCB27CA">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p>
        </w:tc>
        <w:tc>
          <w:tcPr>
            <w:tcW w:w="1020" w:type="dxa"/>
            <w:vAlign w:val="center"/>
          </w:tcPr>
          <w:p w14:paraId="0CF2A53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金川紫云府片区</w:t>
            </w:r>
          </w:p>
        </w:tc>
        <w:tc>
          <w:tcPr>
            <w:tcW w:w="4830" w:type="dxa"/>
            <w:vAlign w:val="center"/>
          </w:tcPr>
          <w:p w14:paraId="5AF88D3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铜梁实验中学、金川紫云府、新鸥鹏·铜梁巴川郡、北京城建·龙樾熙城</w:t>
            </w:r>
          </w:p>
        </w:tc>
        <w:tc>
          <w:tcPr>
            <w:tcW w:w="1185" w:type="dxa"/>
            <w:vAlign w:val="center"/>
          </w:tcPr>
          <w:p w14:paraId="1F960828">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0.227</w:t>
            </w:r>
          </w:p>
        </w:tc>
        <w:tc>
          <w:tcPr>
            <w:tcW w:w="1080" w:type="dxa"/>
            <w:vAlign w:val="center"/>
          </w:tcPr>
          <w:p w14:paraId="2D39C10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南城</w:t>
            </w:r>
          </w:p>
          <w:p w14:paraId="61CB1609">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街道</w:t>
            </w:r>
          </w:p>
        </w:tc>
        <w:tc>
          <w:tcPr>
            <w:tcW w:w="1110" w:type="dxa"/>
            <w:vMerge w:val="continue"/>
            <w:vAlign w:val="center"/>
          </w:tcPr>
          <w:p w14:paraId="3143B1D1">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p>
        </w:tc>
        <w:tc>
          <w:tcPr>
            <w:tcW w:w="2145" w:type="dxa"/>
            <w:vMerge w:val="continue"/>
            <w:vAlign w:val="center"/>
          </w:tcPr>
          <w:p w14:paraId="5F576EA9">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p>
        </w:tc>
        <w:tc>
          <w:tcPr>
            <w:tcW w:w="1771" w:type="dxa"/>
            <w:vAlign w:val="center"/>
          </w:tcPr>
          <w:p w14:paraId="6AC649E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方正仿宋_GBK" w:cs="Times New Roman"/>
                <w:snapToGrid/>
                <w:color w:val="auto"/>
                <w:spacing w:val="0"/>
                <w:kern w:val="2"/>
                <w:sz w:val="28"/>
                <w:szCs w:val="28"/>
                <w:lang w:val="en-US" w:eastAsia="zh-CN" w:bidi="ar-SA"/>
              </w:rPr>
            </w:pPr>
            <w:r>
              <w:rPr>
                <w:rFonts w:hint="default" w:ascii="Times New Roman" w:hAnsi="Times New Roman" w:eastAsia="方正仿宋_GBK" w:cs="Times New Roman"/>
                <w:snapToGrid/>
                <w:color w:val="auto"/>
                <w:spacing w:val="0"/>
                <w:kern w:val="2"/>
                <w:sz w:val="28"/>
                <w:szCs w:val="28"/>
                <w:lang w:val="en-US" w:eastAsia="zh-CN" w:bidi="ar-SA"/>
              </w:rPr>
              <w:t>该区域中部是9-3号处临时扩展区。</w:t>
            </w:r>
          </w:p>
        </w:tc>
      </w:tr>
    </w:tbl>
    <w:p w14:paraId="5814D56C">
      <w:pPr>
        <w:ind w:firstLine="560" w:firstLineChars="200"/>
        <w:rPr>
          <w:rFonts w:hint="default" w:ascii="Times Newer Roman" w:hAnsi="Times Newer Roman" w:eastAsia="方正仿宋_GBK" w:cs="Times Newer Roman"/>
          <w:bCs w:val="0"/>
          <w:snapToGrid/>
          <w:color w:val="000000" w:themeColor="text1"/>
          <w:spacing w:val="0"/>
          <w:kern w:val="2"/>
          <w:sz w:val="28"/>
          <w:szCs w:val="28"/>
          <w:lang w:val="en-US" w:eastAsia="zh-CN" w:bidi="ar-SA"/>
          <w14:textFill>
            <w14:solidFill>
              <w14:schemeClr w14:val="tx1"/>
            </w14:solidFill>
          </w14:textFill>
        </w:rPr>
        <w:sectPr>
          <w:headerReference r:id="rId5" w:type="default"/>
          <w:footerReference r:id="rId6" w:type="default"/>
          <w:type w:val="continuous"/>
          <w:pgSz w:w="16838" w:h="11906" w:orient="landscape"/>
          <w:pgMar w:top="1962" w:right="1474" w:bottom="1848" w:left="1587" w:header="851" w:footer="992" w:gutter="0"/>
          <w:pgNumType w:fmt="numberInDash"/>
          <w:cols w:space="425" w:num="1"/>
          <w:docGrid w:type="lines" w:linePitch="312" w:charSpace="0"/>
        </w:sectPr>
      </w:pPr>
      <w:r>
        <w:rPr>
          <w:rFonts w:hint="default" w:ascii="Times Newer Roman" w:hAnsi="Times Newer Roman" w:eastAsia="方正仿宋_GBK" w:cs="Times Newer Roman"/>
          <w:bCs w:val="0"/>
          <w:snapToGrid/>
          <w:color w:val="000000" w:themeColor="text1"/>
          <w:spacing w:val="0"/>
          <w:kern w:val="2"/>
          <w:sz w:val="28"/>
          <w:szCs w:val="28"/>
          <w:lang w:val="en-US" w:eastAsia="zh-CN" w:bidi="ar-SA"/>
          <w14:textFill>
            <w14:solidFill>
              <w14:schemeClr w14:val="tx1"/>
            </w14:solidFill>
          </w14:textFill>
        </w:rPr>
        <w:t>注：建筑施工工地采用有效降低噪声的施工工艺、设备等措施，或建筑施工工地完成施工，噪声敏感建筑物不再受建筑施工噪声影响，噪声敏感建筑物临时扩展区自动取消。</w:t>
      </w:r>
    </w:p>
    <w:p w14:paraId="3818FF17">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rPr>
          <w:rFonts w:hint="eastAsia" w:ascii="方正黑体_GBK" w:hAnsi="方正黑体_GBK" w:eastAsia="方正黑体_GBK" w:cs="方正黑体_GBK"/>
          <w:snapToGrid w:val="0"/>
          <w:sz w:val="32"/>
          <w:szCs w:val="32"/>
          <w:lang w:val="en-US" w:eastAsia="zh-CN"/>
        </w:rPr>
      </w:pPr>
    </w:p>
    <w:p w14:paraId="6D7D8FFC">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rPr>
          <w:rFonts w:hint="eastAsia" w:ascii="方正黑体_GBK" w:hAnsi="方正黑体_GBK" w:eastAsia="方正黑体_GBK" w:cs="方正黑体_GBK"/>
          <w:snapToGrid w:val="0"/>
          <w:sz w:val="32"/>
          <w:szCs w:val="32"/>
          <w:lang w:val="en-US" w:eastAsia="zh-CN"/>
        </w:rPr>
      </w:pPr>
      <w:r>
        <w:rPr>
          <w:rFonts w:hint="eastAsia" w:ascii="方正黑体_GBK" w:hAnsi="方正黑体_GBK" w:eastAsia="方正黑体_GBK" w:cs="方正黑体_GBK"/>
          <w:snapToGrid w:val="0"/>
          <w:sz w:val="32"/>
          <w:szCs w:val="32"/>
          <w:lang w:val="en-US" w:eastAsia="zh-CN"/>
        </w:rPr>
        <w:t>六、管理要求</w:t>
      </w:r>
    </w:p>
    <w:p w14:paraId="2B086656">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rPr>
          <w:rFonts w:hint="default" w:ascii="Times New Roman" w:hAnsi="Times New Roman" w:eastAsia="方正仿宋_GBK"/>
          <w:snapToGrid w:val="0"/>
          <w:sz w:val="32"/>
          <w:szCs w:val="32"/>
          <w:lang w:val="en-US" w:eastAsia="zh-CN"/>
        </w:rPr>
      </w:pPr>
      <w:r>
        <w:rPr>
          <w:rFonts w:hint="default" w:ascii="Times New Roman" w:hAnsi="Times New Roman" w:eastAsia="方正仿宋_GBK"/>
          <w:snapToGrid w:val="0"/>
          <w:sz w:val="32"/>
          <w:szCs w:val="32"/>
          <w:lang w:val="en-US" w:eastAsia="zh-CN"/>
        </w:rPr>
        <w:t>（一）噪声敏感建筑物集中区域的管理按照《中华人民共和国</w:t>
      </w:r>
      <w:r>
        <w:rPr>
          <w:rFonts w:hint="eastAsia" w:ascii="Times New Roman" w:hAnsi="Times New Roman" w:eastAsia="方正仿宋_GBK"/>
          <w:snapToGrid w:val="0"/>
          <w:sz w:val="32"/>
          <w:szCs w:val="32"/>
          <w:lang w:val="en-US" w:eastAsia="zh-CN"/>
        </w:rPr>
        <w:t>生态环境法典</w:t>
      </w:r>
      <w:r>
        <w:rPr>
          <w:rFonts w:hint="default" w:ascii="Times New Roman" w:hAnsi="Times New Roman" w:eastAsia="方正仿宋_GBK"/>
          <w:snapToGrid w:val="0"/>
          <w:sz w:val="32"/>
          <w:szCs w:val="32"/>
          <w:lang w:val="en-US" w:eastAsia="zh-CN"/>
        </w:rPr>
        <w:t>》（</w:t>
      </w:r>
      <w:r>
        <w:rPr>
          <w:rFonts w:hint="eastAsia" w:ascii="Times New Roman" w:hAnsi="Times New Roman" w:eastAsia="方正仿宋_GBK"/>
          <w:snapToGrid w:val="0"/>
          <w:sz w:val="32"/>
          <w:szCs w:val="32"/>
          <w:lang w:val="en-US" w:eastAsia="zh-CN"/>
        </w:rPr>
        <w:t>中华人民共和国</w:t>
      </w:r>
      <w:r>
        <w:rPr>
          <w:rFonts w:hint="default" w:ascii="Times New Roman" w:hAnsi="Times New Roman" w:eastAsia="方正仿宋_GBK"/>
          <w:snapToGrid w:val="0"/>
          <w:sz w:val="32"/>
          <w:szCs w:val="32"/>
          <w:lang w:val="en-US" w:eastAsia="zh-CN"/>
        </w:rPr>
        <w:t>主席令第</w:t>
      </w:r>
      <w:r>
        <w:rPr>
          <w:rFonts w:hint="eastAsia" w:ascii="Times New Roman" w:hAnsi="Times New Roman" w:eastAsia="方正仿宋_GBK"/>
          <w:snapToGrid w:val="0"/>
          <w:sz w:val="32"/>
          <w:szCs w:val="32"/>
          <w:lang w:val="en-US" w:eastAsia="zh-CN"/>
        </w:rPr>
        <w:t>七十</w:t>
      </w:r>
      <w:r>
        <w:rPr>
          <w:rFonts w:hint="default" w:ascii="Times New Roman" w:hAnsi="Times New Roman" w:eastAsia="方正仿宋_GBK"/>
          <w:snapToGrid w:val="0"/>
          <w:sz w:val="32"/>
          <w:szCs w:val="32"/>
          <w:lang w:val="en-US" w:eastAsia="zh-CN"/>
        </w:rPr>
        <w:t>号）（自202</w:t>
      </w:r>
      <w:r>
        <w:rPr>
          <w:rFonts w:hint="eastAsia" w:ascii="Times New Roman" w:hAnsi="Times New Roman" w:eastAsia="方正仿宋_GBK"/>
          <w:snapToGrid w:val="0"/>
          <w:sz w:val="32"/>
          <w:szCs w:val="32"/>
          <w:lang w:val="en-US" w:eastAsia="zh-CN"/>
        </w:rPr>
        <w:t>6</w:t>
      </w:r>
      <w:r>
        <w:rPr>
          <w:rFonts w:hint="default" w:ascii="Times New Roman" w:hAnsi="Times New Roman" w:eastAsia="方正仿宋_GBK"/>
          <w:snapToGrid w:val="0"/>
          <w:sz w:val="32"/>
          <w:szCs w:val="32"/>
          <w:lang w:val="en-US" w:eastAsia="zh-CN"/>
        </w:rPr>
        <w:t>年</w:t>
      </w:r>
      <w:r>
        <w:rPr>
          <w:rFonts w:hint="eastAsia" w:ascii="Times New Roman" w:hAnsi="Times New Roman" w:eastAsia="方正仿宋_GBK"/>
          <w:snapToGrid w:val="0"/>
          <w:sz w:val="32"/>
          <w:szCs w:val="32"/>
          <w:lang w:val="en-US" w:eastAsia="zh-CN"/>
        </w:rPr>
        <w:t>8</w:t>
      </w:r>
      <w:r>
        <w:rPr>
          <w:rFonts w:hint="default" w:ascii="Times New Roman" w:hAnsi="Times New Roman" w:eastAsia="方正仿宋_GBK"/>
          <w:snapToGrid w:val="0"/>
          <w:sz w:val="32"/>
          <w:szCs w:val="32"/>
          <w:lang w:val="en-US" w:eastAsia="zh-CN"/>
        </w:rPr>
        <w:t>月</w:t>
      </w:r>
      <w:r>
        <w:rPr>
          <w:rFonts w:hint="eastAsia" w:ascii="Times New Roman" w:hAnsi="Times New Roman" w:eastAsia="方正仿宋_GBK"/>
          <w:snapToGrid w:val="0"/>
          <w:sz w:val="32"/>
          <w:szCs w:val="32"/>
          <w:lang w:val="en-US" w:eastAsia="zh-CN"/>
        </w:rPr>
        <w:t>15</w:t>
      </w:r>
      <w:r>
        <w:rPr>
          <w:rFonts w:hint="default" w:ascii="Times New Roman" w:hAnsi="Times New Roman" w:eastAsia="方正仿宋_GBK"/>
          <w:snapToGrid w:val="0"/>
          <w:sz w:val="32"/>
          <w:szCs w:val="32"/>
          <w:lang w:val="en-US" w:eastAsia="zh-CN"/>
        </w:rPr>
        <w:t>日起施行）第五百五十三条、第五百五十八条、第五百六十五条、第五百六十六条、第五百七十条、第五百七十一条、第五百七十二条、第五百七十四条、第五百七十五条、第五百八十一条、第五百九十三条、第五百九十九条、第一千一百八十四条、第一千一百八十五条、第一千一百八十六条、第一千一百九十条规定和《重庆市噪声污染防治办法》</w:t>
      </w:r>
      <w:r>
        <w:rPr>
          <w:rFonts w:hint="default" w:ascii="Times New Roman" w:hAnsi="Times New Roman" w:eastAsia="方正仿宋_GBK"/>
          <w:snapToGrid w:val="0"/>
          <w:sz w:val="32"/>
          <w:szCs w:val="32"/>
          <w:lang w:val="en" w:eastAsia="zh-CN"/>
        </w:rPr>
        <w:t>（</w:t>
      </w:r>
      <w:r>
        <w:rPr>
          <w:rFonts w:hint="default" w:ascii="Times New Roman" w:hAnsi="Times New Roman" w:eastAsia="方正仿宋_GBK"/>
          <w:snapToGrid w:val="0"/>
          <w:sz w:val="32"/>
          <w:szCs w:val="32"/>
          <w:lang w:val="en-US" w:eastAsia="zh-CN"/>
        </w:rPr>
        <w:t>重庆市人民政府令第 363 号）（自2024年2月1日起施行）第四条、第五条、第七条、第八条、第十一条、</w:t>
      </w:r>
      <w:bookmarkStart w:id="1" w:name="_GoBack"/>
      <w:bookmarkEnd w:id="1"/>
      <w:r>
        <w:rPr>
          <w:rFonts w:hint="default" w:ascii="Times New Roman" w:hAnsi="Times New Roman" w:eastAsia="方正仿宋_GBK"/>
          <w:snapToGrid w:val="0"/>
          <w:sz w:val="32"/>
          <w:szCs w:val="32"/>
          <w:lang w:val="en-US" w:eastAsia="zh-CN"/>
        </w:rPr>
        <w:t>第十四条、第十五条、第十七条、第十八条规定执行。</w:t>
      </w:r>
    </w:p>
    <w:p w14:paraId="30BB1114">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rPr>
          <w:rFonts w:hint="default" w:ascii="Times New Roman" w:hAnsi="Times New Roman" w:eastAsia="方正仿宋_GBK"/>
          <w:snapToGrid w:val="0"/>
          <w:sz w:val="32"/>
          <w:szCs w:val="32"/>
          <w:lang w:val="en-US" w:eastAsia="zh-CN"/>
        </w:rPr>
      </w:pPr>
      <w:r>
        <w:rPr>
          <w:rFonts w:hint="default" w:ascii="Times New Roman" w:hAnsi="Times New Roman" w:eastAsia="方正仿宋_GBK"/>
          <w:snapToGrid w:val="0"/>
          <w:sz w:val="32"/>
          <w:szCs w:val="32"/>
          <w:lang w:val="en-US" w:eastAsia="zh-CN"/>
        </w:rPr>
        <w:t>（二）</w:t>
      </w:r>
      <w:bookmarkStart w:id="0" w:name="OLE_LINK2"/>
      <w:r>
        <w:rPr>
          <w:rFonts w:hint="default" w:ascii="Times New Roman" w:hAnsi="Times New Roman" w:eastAsia="方正仿宋_GBK"/>
          <w:snapToGrid w:val="0"/>
          <w:sz w:val="32"/>
          <w:szCs w:val="32"/>
          <w:lang w:val="en-US" w:eastAsia="zh-CN"/>
        </w:rPr>
        <w:t>严格修改程序，确因建筑物属性、用地性质发生实际变化，可实施动态修编，原则上不超过5年调整一次。</w:t>
      </w:r>
    </w:p>
    <w:bookmarkEnd w:id="0"/>
    <w:p w14:paraId="7EF60D17">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rPr>
          <w:rFonts w:hint="default" w:ascii="Times New Roman" w:hAnsi="Times New Roman" w:eastAsia="方正仿宋_GBK"/>
          <w:snapToGrid w:val="0"/>
          <w:sz w:val="32"/>
          <w:szCs w:val="32"/>
          <w:lang w:val="en-US" w:eastAsia="zh-CN"/>
        </w:rPr>
      </w:pPr>
      <w:r>
        <w:rPr>
          <w:rFonts w:hint="default" w:ascii="Times New Roman" w:hAnsi="Times New Roman" w:eastAsia="方正仿宋_GBK"/>
          <w:snapToGrid w:val="0"/>
          <w:sz w:val="32"/>
          <w:szCs w:val="32"/>
          <w:lang w:val="en-US" w:eastAsia="zh-CN"/>
        </w:rPr>
        <w:t>（三）本方案按照</w:t>
      </w:r>
      <w:r>
        <w:rPr>
          <w:rFonts w:hint="default" w:ascii="Times New Roman" w:hAnsi="Times New Roman" w:eastAsia="方正仿宋_GBK"/>
          <w:snapToGrid w:val="0"/>
          <w:sz w:val="32"/>
          <w:szCs w:val="32"/>
          <w:lang w:val="en" w:eastAsia="zh-CN"/>
        </w:rPr>
        <w:t>《重庆市噪声敏感建筑物集中区域划分技术规范实施细则（试行）》（渝环</w:t>
      </w:r>
      <w:r>
        <w:rPr>
          <w:rFonts w:hint="default" w:ascii="Times New Roman" w:hAnsi="Times New Roman" w:eastAsia="方正仿宋_GBK"/>
          <w:snapToGrid w:val="0"/>
          <w:sz w:val="32"/>
          <w:szCs w:val="32"/>
          <w:lang w:val="en-US" w:eastAsia="zh-CN"/>
        </w:rPr>
        <w:t>〔</w:t>
      </w:r>
      <w:r>
        <w:rPr>
          <w:rFonts w:hint="default" w:ascii="Times New Roman" w:hAnsi="Times New Roman" w:eastAsia="方正仿宋_GBK"/>
          <w:snapToGrid w:val="0"/>
          <w:sz w:val="32"/>
          <w:szCs w:val="32"/>
          <w:lang w:val="en" w:eastAsia="zh-CN"/>
        </w:rPr>
        <w:t>2023</w:t>
      </w:r>
      <w:r>
        <w:rPr>
          <w:rFonts w:hint="default" w:ascii="Times New Roman" w:hAnsi="Times New Roman" w:eastAsia="方正仿宋_GBK"/>
          <w:snapToGrid w:val="0"/>
          <w:sz w:val="32"/>
          <w:szCs w:val="32"/>
          <w:lang w:val="en-US" w:eastAsia="zh-CN"/>
        </w:rPr>
        <w:t>〕106号</w:t>
      </w:r>
      <w:r>
        <w:rPr>
          <w:rFonts w:hint="default" w:ascii="Times New Roman" w:hAnsi="Times New Roman" w:eastAsia="方正仿宋_GBK"/>
          <w:snapToGrid w:val="0"/>
          <w:sz w:val="32"/>
          <w:szCs w:val="32"/>
          <w:lang w:val="en" w:eastAsia="zh-CN"/>
        </w:rPr>
        <w:t>）</w:t>
      </w:r>
      <w:r>
        <w:rPr>
          <w:rFonts w:hint="default" w:ascii="Times New Roman" w:hAnsi="Times New Roman" w:eastAsia="方正仿宋_GBK"/>
          <w:snapToGrid w:val="0"/>
          <w:sz w:val="32"/>
          <w:szCs w:val="32"/>
          <w:lang w:val="en-US" w:eastAsia="zh-CN"/>
        </w:rPr>
        <w:t>进行编制，由铜梁区生态环境局负责解释。</w:t>
      </w:r>
    </w:p>
    <w:p w14:paraId="7F914246">
      <w:pPr>
        <w:ind w:firstLine="640" w:firstLineChars="200"/>
        <w:rPr>
          <w:rFonts w:hint="default"/>
          <w:lang w:val="en-US" w:eastAsia="zh-CN"/>
        </w:rPr>
        <w:sectPr>
          <w:pgSz w:w="11906" w:h="16838"/>
          <w:pgMar w:top="1962" w:right="1474" w:bottom="1848" w:left="1587" w:header="851" w:footer="992" w:gutter="0"/>
          <w:pgNumType w:fmt="numberInDash"/>
          <w:cols w:space="425" w:num="1"/>
          <w:docGrid w:type="lines" w:linePitch="312" w:charSpace="0"/>
        </w:sectPr>
      </w:pPr>
      <w:r>
        <w:rPr>
          <w:rFonts w:hint="default" w:ascii="Times New Roman" w:hAnsi="Times New Roman" w:eastAsia="方正仿宋_GBK"/>
          <w:snapToGrid w:val="0"/>
          <w:sz w:val="32"/>
          <w:szCs w:val="32"/>
          <w:lang w:val="en-US" w:eastAsia="zh-CN"/>
        </w:rPr>
        <w:t>（四）本方案自发布之日起实施。</w:t>
      </w:r>
    </w:p>
    <w:p w14:paraId="4EC3EE2D">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left"/>
        <w:textAlignment w:val="auto"/>
        <w:outlineLvl w:val="9"/>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附图</w:t>
      </w:r>
    </w:p>
    <w:p w14:paraId="04A180C6">
      <w:pPr>
        <w:keepNext w:val="0"/>
        <w:keepLines w:val="0"/>
        <w:pageBreakBefore w:val="0"/>
        <w:widowControl w:val="0"/>
        <w:kinsoku/>
        <w:wordWrap/>
        <w:overflowPunct/>
        <w:topLinePunct w:val="0"/>
        <w:autoSpaceDE/>
        <w:autoSpaceDN/>
        <w:bidi w:val="0"/>
        <w:spacing w:line="600" w:lineRule="exact"/>
        <w:ind w:firstLine="0" w:firstLineChars="0"/>
        <w:jc w:val="center"/>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44"/>
          <w:szCs w:val="44"/>
        </w:rPr>
        <w:t>重庆市铜梁区噪声敏感建筑物集中区域分布图</w:t>
      </w:r>
    </w:p>
    <w:p w14:paraId="1126F8A1">
      <w:pPr>
        <w:rPr>
          <w:rFonts w:hint="default"/>
          <w:lang w:val="en-US" w:eastAsia="zh-CN"/>
        </w:rPr>
      </w:pPr>
      <w:r>
        <w:rPr>
          <w:rFonts w:hint="default" w:ascii="Times Newer Roman" w:hAnsi="Times Newer Roman" w:eastAsia="方正仿宋_GBK" w:cs="Times Newer Roman"/>
          <w:color w:val="auto"/>
          <w:spacing w:val="0"/>
          <w:sz w:val="32"/>
          <w:szCs w:val="32"/>
          <w:shd w:val="clear" w:color="auto" w:fill="FFFFFF"/>
          <w:lang w:val="en-US" w:eastAsia="zh-CN"/>
        </w:rPr>
        <w:drawing>
          <wp:anchor distT="0" distB="0" distL="114300" distR="114300" simplePos="0" relativeHeight="251659264" behindDoc="0" locked="0" layoutInCell="1" allowOverlap="1">
            <wp:simplePos x="0" y="0"/>
            <wp:positionH relativeFrom="column">
              <wp:posOffset>2472690</wp:posOffset>
            </wp:positionH>
            <wp:positionV relativeFrom="paragraph">
              <wp:posOffset>-2580005</wp:posOffset>
            </wp:positionV>
            <wp:extent cx="3676015" cy="9013825"/>
            <wp:effectExtent l="0" t="0" r="15875" b="635"/>
            <wp:wrapNone/>
            <wp:docPr id="1" name="图片 1" descr="党政网发送版铜梁区全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党政网发送版铜梁区全图"/>
                    <pic:cNvPicPr>
                      <a:picLocks noChangeAspect="1"/>
                    </pic:cNvPicPr>
                  </pic:nvPicPr>
                  <pic:blipFill>
                    <a:blip r:embed="rId8"/>
                    <a:stretch>
                      <a:fillRect/>
                    </a:stretch>
                  </pic:blipFill>
                  <pic:spPr>
                    <a:xfrm rot="5400000">
                      <a:off x="0" y="0"/>
                      <a:ext cx="3676015" cy="9013825"/>
                    </a:xfrm>
                    <a:prstGeom prst="rect">
                      <a:avLst/>
                    </a:prstGeom>
                  </pic:spPr>
                </pic:pic>
              </a:graphicData>
            </a:graphic>
          </wp:anchor>
        </w:drawing>
      </w:r>
    </w:p>
    <w:sectPr>
      <w:pgSz w:w="16838" w:h="11906" w:orient="landscape"/>
      <w:pgMar w:top="1962" w:right="1474" w:bottom="1848"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MS Gothic">
    <w:altName w:val="方正书宋_GBK"/>
    <w:panose1 w:val="020B0609070205080204"/>
    <w:charset w:val="80"/>
    <w:family w:val="modern"/>
    <w:pitch w:val="default"/>
    <w:sig w:usb0="00000000" w:usb1="00000000" w:usb2="08000012" w:usb3="00000000" w:csb0="4002009F" w:csb1="DFD70000"/>
  </w:font>
  <w:font w:name="仿宋">
    <w:altName w:val="方正仿宋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Times Newer Roman">
    <w:altName w:val="Times New Roman"/>
    <w:panose1 w:val="00000500000000000000"/>
    <w:charset w:val="00"/>
    <w:family w:val="auto"/>
    <w:pitch w:val="default"/>
    <w:sig w:usb0="00000000" w:usb1="00000000" w:usb2="00000000" w:usb3="00000000" w:csb0="0000009F" w:csb1="00000000"/>
  </w:font>
  <w:font w:name="sans-serif">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CA762">
    <w:pPr>
      <w:pStyle w:val="8"/>
      <w:rPr>
        <w:rFonts w:hint="eastAsia" w:ascii="宋体" w:hAnsi="宋体" w:eastAsia="宋体" w:cs="宋体"/>
        <w:b/>
        <w:bCs/>
        <w:color w:val="005192"/>
        <w:sz w:val="28"/>
        <w:szCs w:val="44"/>
        <w:lang w:val="en-US" w:eastAsia="zh-Hans"/>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-160020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28FD2B">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6pt;height:144pt;width:144pt;mso-position-horizontal:outside;mso-position-horizontal-relative:margin;mso-wrap-style:none;z-index:251662336;mso-width-relative:page;mso-height-relative:page;" filled="f" stroked="f" coordsize="21600,21600" o:gfxdata="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cYSZ09UAAAAIAQAADwAAAAAAAAABACAAAAAiAAAAZHJzL2Rvd25yZXYueG1sUEsB&#10;AhQAFAAAAAgAh07iQCSCRrQxAgAAYQQAAA4AAAAAAAAAAQAgAAAAJAEAAGRycy9lMm9Eb2MueG1s&#10;UEsFBgAAAAAGAAYAWQEAAMcFAAAAAA==&#10;">
              <v:fill on="f" focussize="0,0"/>
              <v:stroke on="f" weight="0.5pt"/>
              <v:imagedata o:title=""/>
              <o:lock v:ext="edit" aspectratio="f"/>
              <v:textbox inset="0mm,0mm,0mm,0mm" style="mso-fit-shape-to-text:t;">
                <w:txbxContent>
                  <w:p w14:paraId="4828FD2B">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52070</wp:posOffset>
              </wp:positionH>
              <wp:positionV relativeFrom="paragraph">
                <wp:posOffset>123190</wp:posOffset>
              </wp:positionV>
              <wp:extent cx="5616575" cy="1905"/>
              <wp:effectExtent l="0" t="10795" r="3175" b="15875"/>
              <wp:wrapNone/>
              <wp:docPr id="12" name="直接连接符 12"/>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1pt;margin-top:9.7pt;height:0.15pt;width:442.25pt;z-index:251660288;mso-width-relative:page;mso-height-relative:page;" filled="f" stroked="t" coordsize="21600,21600" o:gfxdata="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52IpS0wAA&#10;AAcBAAAPAAAAAAAAAAEAIAAAACIAAABkcnMvZG93bnJldi54bWxQSwECFAAUAAAACACHTuJAsBzI&#10;juoBAAC3AwAADgAAAAAAAAABACAAAAAiAQAAZHJzL2Uyb0RvYy54bWxQSwUGAAAAAAYABgBZAQAA&#10;fgUAAAAA&#10;">
              <v:fill on="f" focussize="0,0"/>
              <v:stroke weight="1.75pt" color="#005192 [3204]" miterlimit="8" joinstyle="miter"/>
              <v:imagedata o:title=""/>
              <o:lock v:ext="edit" aspectratio="f"/>
            </v:line>
          </w:pict>
        </mc:Fallback>
      </mc:AlternateContent>
    </w:r>
  </w:p>
  <w:p w14:paraId="06007164">
    <w:pPr>
      <w:pStyle w:val="8"/>
      <w:ind w:firstLine="3654" w:firstLineChars="1300"/>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eastAsia="zh-CN"/>
      </w:rPr>
      <w:t>铜梁区人民政府办公室</w:t>
    </w:r>
    <w:r>
      <w:rPr>
        <w:rFonts w:hint="eastAsia" w:ascii="宋体" w:hAnsi="宋体" w:eastAsia="宋体" w:cs="宋体"/>
        <w:b/>
        <w:bCs/>
        <w:color w:val="005192"/>
        <w:sz w:val="28"/>
        <w:szCs w:val="44"/>
        <w:lang w:val="en-US" w:eastAsia="zh-CN"/>
      </w:rPr>
      <w:t xml:space="preserve">发布 </w:t>
    </w:r>
    <w:r>
      <w:rPr>
        <w:rFonts w:hint="eastAsia" w:ascii="宋体" w:hAnsi="宋体" w:cs="宋体"/>
        <w:b/>
        <w:bCs/>
        <w:color w:val="005192"/>
        <w:sz w:val="28"/>
        <w:szCs w:val="44"/>
        <w:lang w:val="en-US" w:eastAsia="zh-CN"/>
      </w:rPr>
      <w:t xml:space="preserve">  </w:t>
    </w:r>
    <w:r>
      <w:rPr>
        <w:rFonts w:hint="eastAsia" w:ascii="宋体" w:hAnsi="宋体" w:eastAsia="宋体" w:cs="宋体"/>
        <w:b/>
        <w:bCs/>
        <w:color w:val="005192"/>
        <w:sz w:val="28"/>
        <w:szCs w:val="44"/>
        <w:lang w:val="en-US" w:eastAsia="zh-CN"/>
      </w:rPr>
      <w:t xml:space="preserve">    </w:t>
    </w:r>
  </w:p>
  <w:p w14:paraId="170ABFD1">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231C6">
    <w:pPr>
      <w:pStyle w:val="8"/>
      <w:ind w:left="4788" w:leftChars="2280" w:firstLine="6400" w:firstLineChars="2000"/>
      <w:rPr>
        <w:sz w:val="32"/>
      </w:rPr>
    </w:pPr>
    <w:r>
      <w:rPr>
        <w:sz w:val="32"/>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-160020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B1FFA">
                          <w:pPr>
                            <w:pStyle w:val="9"/>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- 7 -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6pt;height:144pt;width:144pt;mso-position-horizontal:outside;mso-position-horizontal-relative:margin;mso-wrap-style:none;z-index:251663360;mso-width-relative:page;mso-height-relative:page;" filled="f" stroked="f" coordsize="21600,21600" o:gfxdata="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GEmdPVAAAACAEAAA8AAAAAAAAAAQAgAAAAIgAAAGRycy9kb3ducmV2LnhtbFBL&#10;AQIUABQAAAAIAIdO4kB/jq0RMgIAAGEEAAAOAAAAAAAAAAEAIAAAACQBAABkcnMvZTJvRG9jLnht&#10;bFBLBQYAAAAABgAGAFkBAADIBQAAAAA=&#10;">
              <v:fill on="f" focussize="0,0"/>
              <v:stroke on="f" weight="0.5pt"/>
              <v:imagedata o:title=""/>
              <o:lock v:ext="edit" aspectratio="f"/>
              <v:textbox inset="0mm,0mm,0mm,0mm" style="mso-fit-shape-to-text:t;">
                <w:txbxContent>
                  <w:p w14:paraId="756B1FFA">
                    <w:pPr>
                      <w:pStyle w:val="9"/>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- 7 -</w:t>
                    </w:r>
                    <w:r>
                      <w:rPr>
                        <w:rFonts w:hint="eastAsia" w:asciiTheme="minorEastAsia" w:hAnsiTheme="minorEastAsia" w:eastAsiaTheme="minorEastAsia" w:cstheme="minorEastAsia"/>
                        <w:sz w:val="28"/>
                        <w:szCs w:val="28"/>
                      </w:rPr>
                      <w:fldChar w:fldCharType="end"/>
                    </w:r>
                  </w:p>
                </w:txbxContent>
              </v:textbox>
            </v:shape>
          </w:pict>
        </mc:Fallback>
      </mc:AlternateContent>
    </w: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69215</wp:posOffset>
              </wp:positionH>
              <wp:positionV relativeFrom="paragraph">
                <wp:posOffset>140335</wp:posOffset>
              </wp:positionV>
              <wp:extent cx="8384540" cy="5080"/>
              <wp:effectExtent l="0" t="10795" r="16510" b="12700"/>
              <wp:wrapNone/>
              <wp:docPr id="10" name="直接连接符 10"/>
              <wp:cNvGraphicFramePr/>
              <a:graphic xmlns:a="http://schemas.openxmlformats.org/drawingml/2006/main">
                <a:graphicData uri="http://schemas.microsoft.com/office/word/2010/wordprocessingShape">
                  <wps:wsp>
                    <wps:cNvCnPr/>
                    <wps:spPr>
                      <a:xfrm>
                        <a:off x="0" y="0"/>
                        <a:ext cx="8384540" cy="508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45pt;margin-top:11.05pt;height:0.4pt;width:660.2pt;z-index:251661312;mso-width-relative:page;mso-height-relative:page;" filled="f" stroked="t" coordsize="21600,21600" o:gfxdata="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ExHKtQA&#10;AAAJAQAADwAAAAAAAAABACAAAAAiAAAAZHJzL2Rvd25yZXYueG1sUEsBAhQAFAAAAAgAh07iQE5P&#10;E7jqAQAAtwMAAA4AAAAAAAAAAQAgAAAAIwEAAGRycy9lMm9Eb2MueG1sUEsFBgAAAAAGAAYAWQEA&#10;AH8FAAAAAA==&#10;">
              <v:fill on="f" focussize="0,0"/>
              <v:stroke weight="1.75pt" color="#005192 [3204]" miterlimit="8" joinstyle="miter"/>
              <v:imagedata o:title=""/>
              <o:lock v:ext="edit" aspectratio="f"/>
            </v:line>
          </w:pict>
        </mc:Fallback>
      </mc:AlternateContent>
    </w:r>
  </w:p>
  <w:p w14:paraId="4C271DEF">
    <w:pPr>
      <w:pStyle w:val="8"/>
      <w:ind w:firstLine="8714" w:firstLineChars="3100"/>
      <w:rPr>
        <w:rFonts w:hint="eastAsia" w:ascii="宋体" w:hAnsi="宋体" w:eastAsia="宋体" w:cs="宋体"/>
        <w:b/>
        <w:bCs/>
        <w:color w:val="005192"/>
        <w:sz w:val="28"/>
        <w:szCs w:val="44"/>
        <w:lang w:val="en-US" w:eastAsia="zh-Hans"/>
      </w:rPr>
    </w:pPr>
  </w:p>
  <w:p w14:paraId="134C128F">
    <w:pPr>
      <w:pStyle w:val="8"/>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eastAsia="zh-CN"/>
      </w:rPr>
      <w:t>铜梁区人民政府办公室</w:t>
    </w:r>
    <w:r>
      <w:rPr>
        <w:rFonts w:hint="eastAsia" w:ascii="宋体" w:hAnsi="宋体" w:eastAsia="宋体" w:cs="宋体"/>
        <w:b/>
        <w:bCs/>
        <w:color w:val="005192"/>
        <w:sz w:val="28"/>
        <w:szCs w:val="44"/>
        <w:lang w:val="en-US" w:eastAsia="zh-CN"/>
      </w:rPr>
      <w:t xml:space="preserve">发布     </w:t>
    </w:r>
  </w:p>
  <w:p w14:paraId="6E299EC4">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6E20D">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3" name="直接连接符 3"/>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D9N1vO8gEAAL0DAAAOAAAAZHJzL2Uyb0RvYy54bWytU02O0zAU&#10;3iNxB8t7mjSd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TU0Iv5YrFeorznhq5XF+vnk8biFAnH&#10;/HJVlVhACceCnCvuMXyA+FI4Q1LQUK1sos9qdnwFEfti6e+StGzdtdI6X6G2ZGhohV+CZuhLiX7A&#10;0HjkBrajhOkODc9jyJDgtGrT9gQEoTtc6UCOLNmkXM5fVIk0tvurLPXeMejHupwaDWRUxDehlUHO&#10;Zfqm3doiSJJuFCtFB9ees4Z5HW81t5kcmGzz5zzvvn912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Tdbz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7E0DA134">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7" name="图片 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eastAsia="zh-CN"/>
      </w:rPr>
      <w:t>铜梁区人民政府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91DAD">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p>
  <w:p w14:paraId="6D799D58">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-466725</wp:posOffset>
              </wp:positionH>
              <wp:positionV relativeFrom="paragraph">
                <wp:posOffset>393700</wp:posOffset>
              </wp:positionV>
              <wp:extent cx="9078595" cy="21590"/>
              <wp:effectExtent l="0" t="0" r="0" b="0"/>
              <wp:wrapNone/>
              <wp:docPr id="4" name="直接连接符 4"/>
              <wp:cNvGraphicFramePr/>
              <a:graphic xmlns:a="http://schemas.openxmlformats.org/drawingml/2006/main">
                <a:graphicData uri="http://schemas.microsoft.com/office/word/2010/wordprocessingShape">
                  <wps:wsp>
                    <wps:cNvCnPr/>
                    <wps:spPr>
                      <a:xfrm>
                        <a:off x="4133850" y="864870"/>
                        <a:ext cx="9078595" cy="2159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6.75pt;margin-top:31pt;height:1.7pt;width:714.85pt;z-index:251659264;mso-width-relative:page;mso-height-relative:page;" filled="f" stroked="t" coordsize="21600,21600" o:gfxdata="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rmQWdcAAAAKAQAADwAAAAAAAAABACAAAAAiAAAAZHJzL2Rvd25yZXYueG1sUEsB&#10;AhQAFAAAAAgAh07iQN9EASr2AQAAwQMAAA4AAAAAAAAAAQAgAAAAJgEAAGRycy9lMm9Eb2MueG1s&#10;UEsFBgAAAAAGAAYAWQEAAI4FA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eastAsia="zh-CN"/>
      </w:rPr>
      <w:t>铜梁区人民政府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ZWQwZmVlY2JmOWNkNGQ0MmZlMTAzZjQyZDUxOWYifQ=="/>
  </w:docVars>
  <w:rsids>
    <w:rsidRoot w:val="00172A27"/>
    <w:rsid w:val="019E71BD"/>
    <w:rsid w:val="021A1572"/>
    <w:rsid w:val="041C42DA"/>
    <w:rsid w:val="04B679C3"/>
    <w:rsid w:val="05F07036"/>
    <w:rsid w:val="06E00104"/>
    <w:rsid w:val="0798685F"/>
    <w:rsid w:val="080F63D8"/>
    <w:rsid w:val="09341458"/>
    <w:rsid w:val="098254C2"/>
    <w:rsid w:val="09FB3B28"/>
    <w:rsid w:val="0A766EDE"/>
    <w:rsid w:val="0AC352A3"/>
    <w:rsid w:val="0AD64BE8"/>
    <w:rsid w:val="0B0912D7"/>
    <w:rsid w:val="0B976FCC"/>
    <w:rsid w:val="0E025194"/>
    <w:rsid w:val="0F5F7F15"/>
    <w:rsid w:val="12B24C7F"/>
    <w:rsid w:val="13DF798C"/>
    <w:rsid w:val="147C617F"/>
    <w:rsid w:val="152D2DCA"/>
    <w:rsid w:val="1533741A"/>
    <w:rsid w:val="17203520"/>
    <w:rsid w:val="17E62B38"/>
    <w:rsid w:val="187168EA"/>
    <w:rsid w:val="187D472C"/>
    <w:rsid w:val="196673CA"/>
    <w:rsid w:val="19745F40"/>
    <w:rsid w:val="19C120F9"/>
    <w:rsid w:val="1AF66DC3"/>
    <w:rsid w:val="1B2F4AEE"/>
    <w:rsid w:val="1CF734C9"/>
    <w:rsid w:val="1DD714D2"/>
    <w:rsid w:val="1DE659C1"/>
    <w:rsid w:val="1DEC284C"/>
    <w:rsid w:val="1DEE74B5"/>
    <w:rsid w:val="1E6523AC"/>
    <w:rsid w:val="1E8E6529"/>
    <w:rsid w:val="201A32E4"/>
    <w:rsid w:val="20A61B9E"/>
    <w:rsid w:val="22440422"/>
    <w:rsid w:val="22837F68"/>
    <w:rsid w:val="22BB4BBB"/>
    <w:rsid w:val="23CC5006"/>
    <w:rsid w:val="25AD3C7D"/>
    <w:rsid w:val="2AEB3417"/>
    <w:rsid w:val="2C22657D"/>
    <w:rsid w:val="2C2952EE"/>
    <w:rsid w:val="2E7F9B5C"/>
    <w:rsid w:val="2ECC35A1"/>
    <w:rsid w:val="306F1715"/>
    <w:rsid w:val="31A15F24"/>
    <w:rsid w:val="31CA44AE"/>
    <w:rsid w:val="31D2071A"/>
    <w:rsid w:val="324A1681"/>
    <w:rsid w:val="32A03609"/>
    <w:rsid w:val="330C5393"/>
    <w:rsid w:val="35F81499"/>
    <w:rsid w:val="360610FF"/>
    <w:rsid w:val="36FB1DF0"/>
    <w:rsid w:val="395347B5"/>
    <w:rsid w:val="39A232A0"/>
    <w:rsid w:val="39E745AA"/>
    <w:rsid w:val="3B5A6BBB"/>
    <w:rsid w:val="3BBD9781"/>
    <w:rsid w:val="3E984CED"/>
    <w:rsid w:val="3EDA13A6"/>
    <w:rsid w:val="3FE00DF1"/>
    <w:rsid w:val="40F303D9"/>
    <w:rsid w:val="417B75E9"/>
    <w:rsid w:val="42AD3F1A"/>
    <w:rsid w:val="42F058B7"/>
    <w:rsid w:val="436109F6"/>
    <w:rsid w:val="441A38D4"/>
    <w:rsid w:val="442D2AF7"/>
    <w:rsid w:val="44F56185"/>
    <w:rsid w:val="44F72757"/>
    <w:rsid w:val="4504239D"/>
    <w:rsid w:val="4554136E"/>
    <w:rsid w:val="461C0ABE"/>
    <w:rsid w:val="47FB4FB1"/>
    <w:rsid w:val="47FE4616"/>
    <w:rsid w:val="48267B26"/>
    <w:rsid w:val="48EF0765"/>
    <w:rsid w:val="4ABC2CA3"/>
    <w:rsid w:val="4B616FD2"/>
    <w:rsid w:val="4BC77339"/>
    <w:rsid w:val="4BEE59A3"/>
    <w:rsid w:val="4C9236C5"/>
    <w:rsid w:val="4D496C1F"/>
    <w:rsid w:val="4E1D5E24"/>
    <w:rsid w:val="4E250A85"/>
    <w:rsid w:val="4FFD4925"/>
    <w:rsid w:val="505C172E"/>
    <w:rsid w:val="506405EA"/>
    <w:rsid w:val="50D9757B"/>
    <w:rsid w:val="52F46F0B"/>
    <w:rsid w:val="532B6A10"/>
    <w:rsid w:val="53D8014D"/>
    <w:rsid w:val="55E064E0"/>
    <w:rsid w:val="55F76E75"/>
    <w:rsid w:val="572C6D10"/>
    <w:rsid w:val="58250E63"/>
    <w:rsid w:val="5A424708"/>
    <w:rsid w:val="5AB622C2"/>
    <w:rsid w:val="5C551B68"/>
    <w:rsid w:val="5CD722B5"/>
    <w:rsid w:val="5D791EF1"/>
    <w:rsid w:val="5DC34279"/>
    <w:rsid w:val="5FCD688E"/>
    <w:rsid w:val="5FF9BDAA"/>
    <w:rsid w:val="5FFE5333"/>
    <w:rsid w:val="608816D1"/>
    <w:rsid w:val="60EF4E7F"/>
    <w:rsid w:val="648B0A32"/>
    <w:rsid w:val="650F50D0"/>
    <w:rsid w:val="65B576DE"/>
    <w:rsid w:val="66095515"/>
    <w:rsid w:val="665233C1"/>
    <w:rsid w:val="665B6306"/>
    <w:rsid w:val="69AC0D42"/>
    <w:rsid w:val="6AA06749"/>
    <w:rsid w:val="6AD9688B"/>
    <w:rsid w:val="6C870C65"/>
    <w:rsid w:val="6D0E3F22"/>
    <w:rsid w:val="6DA53BC1"/>
    <w:rsid w:val="6E6318F5"/>
    <w:rsid w:val="70BD5DD1"/>
    <w:rsid w:val="72E9064D"/>
    <w:rsid w:val="737808EF"/>
    <w:rsid w:val="744E4660"/>
    <w:rsid w:val="74514836"/>
    <w:rsid w:val="753355A2"/>
    <w:rsid w:val="759F1C61"/>
    <w:rsid w:val="769F2DE8"/>
    <w:rsid w:val="76FDEB7C"/>
    <w:rsid w:val="77F74B8B"/>
    <w:rsid w:val="77FF2F5F"/>
    <w:rsid w:val="77FFD319"/>
    <w:rsid w:val="7924080A"/>
    <w:rsid w:val="79371594"/>
    <w:rsid w:val="79C65162"/>
    <w:rsid w:val="7C9011D9"/>
    <w:rsid w:val="7CF35CED"/>
    <w:rsid w:val="7D9F6480"/>
    <w:rsid w:val="7DC651C5"/>
    <w:rsid w:val="7DE14E7C"/>
    <w:rsid w:val="7DF350ED"/>
    <w:rsid w:val="7E7A1027"/>
    <w:rsid w:val="7F9DA0E8"/>
    <w:rsid w:val="7FCC2834"/>
    <w:rsid w:val="7FDB7F79"/>
    <w:rsid w:val="7FF6A4EF"/>
    <w:rsid w:val="92DD1CEF"/>
    <w:rsid w:val="97259F1C"/>
    <w:rsid w:val="B7BFE03F"/>
    <w:rsid w:val="BB9B38A5"/>
    <w:rsid w:val="C89D58F2"/>
    <w:rsid w:val="CFFB6FC1"/>
    <w:rsid w:val="DDCF1E8C"/>
    <w:rsid w:val="DFDE16C4"/>
    <w:rsid w:val="EDF48F8C"/>
    <w:rsid w:val="EE3B10CF"/>
    <w:rsid w:val="F05B4F69"/>
    <w:rsid w:val="F59D7D8F"/>
    <w:rsid w:val="F6E7696A"/>
    <w:rsid w:val="F77C7BB4"/>
    <w:rsid w:val="F7FA7AB0"/>
    <w:rsid w:val="F97D9566"/>
    <w:rsid w:val="FBE75F7D"/>
    <w:rsid w:val="FDF9CCAD"/>
    <w:rsid w:val="FDFF411C"/>
    <w:rsid w:val="FFDF59C9"/>
    <w:rsid w:val="FFE598D0"/>
    <w:rsid w:val="FFFB3383"/>
    <w:rsid w:val="FFFFE7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pPr>
      <w:suppressAutoHyphens/>
      <w:ind w:left="420" w:leftChars="200"/>
    </w:pPr>
    <w:rPr>
      <w:rFonts w:ascii="Calibri" w:hAnsi="Calibri" w:eastAsia="宋体"/>
      <w:sz w:val="21"/>
      <w:szCs w:val="24"/>
    </w:rPr>
  </w:style>
  <w:style w:type="paragraph" w:styleId="4">
    <w:name w:val="annotation text"/>
    <w:basedOn w:val="1"/>
    <w:qFormat/>
    <w:uiPriority w:val="0"/>
    <w:pPr>
      <w:jc w:val="left"/>
    </w:pPr>
  </w:style>
  <w:style w:type="paragraph" w:styleId="5">
    <w:name w:val="Body Text"/>
    <w:basedOn w:val="1"/>
    <w:next w:val="6"/>
    <w:qFormat/>
    <w:uiPriority w:val="0"/>
    <w:pPr>
      <w:spacing w:after="120" w:afterLines="0"/>
    </w:pPr>
    <w:rPr>
      <w:rFonts w:eastAsia="方正仿宋_GBK"/>
      <w:kern w:val="2"/>
      <w:sz w:val="32"/>
      <w:lang w:val="en-US" w:eastAsia="zh-CN" w:bidi="ar-SA"/>
    </w:rPr>
  </w:style>
  <w:style w:type="paragraph" w:styleId="6">
    <w:name w:val="Body Text First Indent"/>
    <w:basedOn w:val="5"/>
    <w:qFormat/>
    <w:uiPriority w:val="0"/>
    <w:pPr>
      <w:spacing w:line="500" w:lineRule="exact"/>
      <w:ind w:firstLine="420"/>
    </w:pPr>
    <w:rPr>
      <w:sz w:val="28"/>
    </w:rPr>
  </w:style>
  <w:style w:type="paragraph" w:styleId="7">
    <w:name w:val="Plain Text"/>
    <w:basedOn w:val="1"/>
    <w:next w:val="8"/>
    <w:qFormat/>
    <w:uiPriority w:val="0"/>
    <w:rPr>
      <w:rFonts w:ascii="宋体" w:hAnsi="Courier New" w:eastAsia="宋体" w:cs="Courier New"/>
      <w:sz w:val="21"/>
      <w:szCs w:val="21"/>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bCs/>
    </w:rPr>
  </w:style>
  <w:style w:type="paragraph" w:customStyle="1" w:styleId="15">
    <w:name w:val="Default"/>
    <w:next w:val="1"/>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paragraph" w:customStyle="1" w:styleId="16">
    <w:name w:val="p0"/>
    <w:basedOn w:val="1"/>
    <w:qFormat/>
    <w:uiPriority w:val="0"/>
    <w:pPr>
      <w:widowControl/>
    </w:pPr>
    <w:rPr>
      <w:rFonts w:ascii="Calibri" w:hAnsi="Calibri" w:eastAsia="宋体" w:cs="宋体"/>
      <w:kern w:val="0"/>
      <w:szCs w:val="32"/>
    </w:rPr>
  </w:style>
  <w:style w:type="paragraph" w:customStyle="1" w:styleId="17">
    <w:name w:val="正文（缩进）"/>
    <w:basedOn w:val="1"/>
    <w:qFormat/>
    <w:uiPriority w:val="0"/>
    <w:pPr>
      <w:spacing w:line="594" w:lineRule="exact"/>
      <w:ind w:firstLine="482"/>
    </w:pPr>
    <w:rPr>
      <w:rFonts w:eastAsia="方正仿宋_GBK"/>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3722</Words>
  <Characters>4167</Characters>
  <Lines>1</Lines>
  <Paragraphs>1</Paragraphs>
  <TotalTime>40</TotalTime>
  <ScaleCrop>false</ScaleCrop>
  <LinksUpToDate>false</LinksUpToDate>
  <CharactersWithSpaces>4238</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2021-09-12T02:41:00Z</dcterms:created>
  <dc:creator>t</dc:creator>
  <cp:lastModifiedBy>wang</cp:lastModifiedBy>
  <cp:lastPrinted>2022-05-13T00:46:00Z</cp:lastPrinted>
  <dcterms:modified xsi:type="dcterms:W3CDTF">2026-08-25T14:16:16Z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BB06FF69E224481EBDC57754CF217EA4</vt:lpwstr>
  </property>
  <property fmtid="{D5CDD505-2E9C-101B-9397-08002B2CF9AE}" pid="4" name="KSOTemplateDocerSaveRecord">
    <vt:lpwstr>eyJoZGlkIjoiYWU4MmZiZDA3ZTI5OTI5MDlmNjRiZDQ0Y2NmOGZmMzgiLCJ1c2VySWQiOiI0ODgwMTU3NjEifQ==</vt:lpwstr>
  </property>
</Properties>
</file>