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关于废止部分行政规范性文件的决定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铜府发〔2020〕6号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kern w:val="0"/>
          <w:sz w:val="32"/>
          <w:szCs w:val="20"/>
        </w:rPr>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为加强行政规范性文件管理，根据《重庆市行政规范性文件管理办法》（渝府令〔2019〕329号）等相关规定，区政府决定将《重庆市铜梁区人民政府办公室关于进一步规范国有资金投资项目招标投标活动的通知》等3件行政规范性文件予以废止，自本决定印发之日起停止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附件：决定废止的行政规范性文件目录</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r>
        <w:rPr>
          <w:rFonts w:hint="eastAsia" w:ascii="方正仿宋_GBK" w:hAnsi="Times New Roman" w:eastAsia="方正仿宋_GBK" w:cs="Times New Roman"/>
          <w:kern w:val="0"/>
          <w:sz w:val="32"/>
          <w:szCs w:val="32"/>
          <w:lang w:val="en-US" w:eastAsia="zh-CN"/>
        </w:rPr>
        <w:t>重庆市铜梁区人民政府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202</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年</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17</w:t>
      </w:r>
      <w:r>
        <w:rPr>
          <w:rFonts w:hint="default" w:ascii="Times New Roman" w:hAnsi="Times New Roman" w:eastAsia="方正仿宋_GBK" w:cs="Times New Roman"/>
          <w:kern w:val="0"/>
          <w:sz w:val="32"/>
          <w:szCs w:val="32"/>
          <w:lang w:val="en-US" w:eastAsia="zh-CN"/>
        </w:rPr>
        <w:t xml:space="preserve">日  </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决定废止的行政规范性文件目录</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一</w:t>
      </w:r>
      <w:r>
        <w:rPr>
          <w:rFonts w:hint="eastAsia" w:ascii="Times New Roman" w:hAnsi="Times New Roman" w:eastAsia="方正仿宋_GBK" w:cs="Times New Roman"/>
          <w:sz w:val="32"/>
          <w:szCs w:val="20"/>
        </w:rPr>
        <w:t>、《重庆市铜梁区人民政府办公室关于进一步规范国有资金投资项目招标投标活动的通知》（铜府办〔2017〕57号）；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二</w:t>
      </w:r>
      <w:r>
        <w:rPr>
          <w:rFonts w:hint="eastAsia" w:ascii="Times New Roman" w:hAnsi="Times New Roman" w:eastAsia="方正仿宋_GBK" w:cs="Times New Roman"/>
          <w:sz w:val="32"/>
          <w:szCs w:val="20"/>
        </w:rPr>
        <w:t>、《重庆市铜梁区人民政府办公室关于印发重庆市铜梁区招标投标信息公开管理暂行办法的通知》（铜府办〔2017〕61号）；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eastAsia="zh-CN"/>
        </w:rPr>
      </w:pPr>
      <w:r>
        <w:rPr>
          <w:rFonts w:hint="eastAsia" w:ascii="方正黑体_GBK" w:hAnsi="方正黑体_GBK" w:eastAsia="方正黑体_GBK" w:cs="方正黑体_GBK"/>
          <w:sz w:val="32"/>
          <w:szCs w:val="20"/>
        </w:rPr>
        <w:t>三</w:t>
      </w:r>
      <w:r>
        <w:rPr>
          <w:rFonts w:hint="eastAsia" w:ascii="Times New Roman" w:hAnsi="Times New Roman" w:eastAsia="方正仿宋_GBK" w:cs="Times New Roman"/>
          <w:sz w:val="32"/>
          <w:szCs w:val="20"/>
        </w:rPr>
        <w:t>、《重庆市铜梁区人民政府办公室关于进一步加强招标投标监管工作的通知》（铜府办发〔2017〕37号）</w:t>
      </w:r>
      <w:r>
        <w:rPr>
          <w:rFonts w:hint="eastAsia" w:ascii="Times New Roman" w:hAnsi="Times New Roman" w:eastAsia="方正仿宋_GBK" w:cs="Times New Roman"/>
          <w:sz w:val="32"/>
          <w:szCs w:val="20"/>
          <w:lang w:eastAsia="zh-CN"/>
        </w:rPr>
        <w:t>。</w:t>
      </w:r>
    </w:p>
    <w:p>
      <w:pPr>
        <w:ind w:firstLine="420" w:firstLineChars="200"/>
        <w:rPr>
          <w:rFonts w:hint="eastAsia"/>
        </w:rPr>
      </w:pPr>
    </w:p>
    <w:p>
      <w:pPr>
        <w:ind w:firstLine="420" w:firstLineChars="200"/>
        <w:rPr>
          <w:rFonts w:hint="eastAsia"/>
        </w:rPr>
      </w:pPr>
      <w:bookmarkStart w:id="0" w:name="_GoBack"/>
      <w:bookmarkEnd w:id="0"/>
    </w:p>
    <w:p>
      <w:pPr>
        <w:ind w:firstLine="420" w:firstLineChars="200"/>
        <w:rPr>
          <w:rFonts w:hint="eastAsia"/>
        </w:rPr>
      </w:pPr>
    </w:p>
    <w:p>
      <w:pPr>
        <w:ind w:firstLine="420" w:firstLineChars="200"/>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4E73816"/>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88C3CDD"/>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462</Words>
  <Characters>496</Characters>
  <Lines>1</Lines>
  <Paragraphs>1</Paragraphs>
  <TotalTime>1</TotalTime>
  <ScaleCrop>false</ScaleCrop>
  <LinksUpToDate>false</LinksUpToDate>
  <CharactersWithSpaces>498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2022-06-09T15:07:53Z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8BED47ECD1314177B8E9D443DC19553C</vt:lpwstr>
  </property>
</Properties>
</file>